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44"/>
          <w:szCs w:val="44"/>
        </w:rPr>
      </w:pPr>
      <w:r>
        <w:rPr>
          <w:rFonts w:hint="eastAsia" w:ascii="宋体" w:hAnsi="宋体"/>
          <w:b/>
          <w:bCs/>
          <w:sz w:val="44"/>
          <w:szCs w:val="44"/>
        </w:rPr>
        <w:t>南通大学附属实验小学厕所改造项目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0"/>
        <w:jc w:val="center"/>
        <w:rPr>
          <w:rFonts w:ascii="宋体" w:hAnsi="宋体"/>
          <w:b/>
          <w:bCs/>
          <w:spacing w:val="-12"/>
          <w:sz w:val="32"/>
          <w:u w:val="single"/>
        </w:rPr>
      </w:pPr>
      <w:r>
        <w:rPr>
          <w:rFonts w:hint="eastAsia" w:ascii="宋体" w:hAnsi="宋体"/>
          <w:b/>
          <w:bCs/>
          <w:sz w:val="32"/>
        </w:rPr>
        <w:t>采  购 人：</w:t>
      </w:r>
      <w:r>
        <w:rPr>
          <w:rFonts w:hint="eastAsia" w:ascii="宋体" w:hAnsi="宋体"/>
          <w:b/>
          <w:bCs/>
          <w:sz w:val="32"/>
          <w:u w:val="single"/>
        </w:rPr>
        <w:t>南通大学附属实验小学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期：2024年9月2</w:t>
      </w:r>
      <w:r>
        <w:rPr>
          <w:rFonts w:hint="eastAsia" w:ascii="宋体" w:hAnsi="宋体"/>
          <w:b/>
          <w:bCs/>
          <w:sz w:val="32"/>
          <w:szCs w:val="24"/>
          <w:lang w:val="en-US" w:eastAsia="zh-CN"/>
        </w:rPr>
        <w:t>5</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南通大学附属实验小学厕所改造项目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rPr>
        <w:t>南通大学附属实验小学厕所改造项目</w:t>
      </w:r>
      <w:r>
        <w:rPr>
          <w:rFonts w:hint="eastAsia" w:ascii="宋体" w:hAnsi="宋体" w:eastAsia="宋体"/>
          <w:sz w:val="24"/>
          <w:szCs w:val="24"/>
        </w:rPr>
        <w:t>潜在供应商应在供应商登陆南通开发区教育网（</w:t>
      </w:r>
      <w:r>
        <w:fldChar w:fldCharType="begin"/>
      </w:r>
      <w:r>
        <w:instrText xml:space="preserve"> HYPERLINK "http://www.ntkfqjy.com/），下载询价文件，并于2021年8月" </w:instrText>
      </w:r>
      <w:r>
        <w:fldChar w:fldCharType="separate"/>
      </w:r>
      <w:r>
        <w:rPr>
          <w:rStyle w:val="13"/>
          <w:rFonts w:hint="eastAsia" w:ascii="宋体" w:hAnsi="宋体" w:eastAsia="宋体"/>
          <w:sz w:val="24"/>
          <w:szCs w:val="24"/>
        </w:rPr>
        <w:t>http://www.ntkfqjy.com/），下载询价文件，并于2024</w:t>
      </w:r>
      <w:r>
        <w:rPr>
          <w:rStyle w:val="13"/>
          <w:rFonts w:hint="eastAsia" w:ascii="宋体" w:hAnsi="宋体" w:eastAsia="宋体"/>
          <w:bCs/>
          <w:sz w:val="24"/>
          <w:szCs w:val="24"/>
        </w:rPr>
        <w:t>年9月</w:t>
      </w:r>
      <w:r>
        <w:rPr>
          <w:rStyle w:val="13"/>
          <w:rFonts w:hint="eastAsia" w:ascii="宋体" w:hAnsi="宋体" w:eastAsia="宋体"/>
          <w:bCs/>
          <w:sz w:val="24"/>
          <w:szCs w:val="24"/>
        </w:rPr>
        <w:fldChar w:fldCharType="end"/>
      </w:r>
      <w:r>
        <w:rPr>
          <w:rFonts w:ascii="宋体" w:hAnsi="宋体" w:eastAsia="宋体"/>
          <w:bCs/>
          <w:sz w:val="24"/>
          <w:szCs w:val="24"/>
          <w:u w:val="single"/>
        </w:rPr>
        <w:t>30</w:t>
      </w:r>
      <w:r>
        <w:rPr>
          <w:rFonts w:hint="eastAsia" w:ascii="宋体" w:hAnsi="宋体" w:eastAsia="宋体"/>
          <w:bCs/>
          <w:sz w:val="24"/>
          <w:szCs w:val="24"/>
          <w:u w:val="single"/>
        </w:rPr>
        <w:t>日9点00分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rPr>
        <w:t>南通大学附属实验小学</w:t>
      </w:r>
      <w:r>
        <w:rPr>
          <w:rFonts w:hint="eastAsia" w:ascii="宋体" w:hAnsi="宋体" w:eastAsia="宋体"/>
          <w:sz w:val="24"/>
          <w:szCs w:val="24"/>
        </w:rPr>
        <w:t>的委托，决定就</w:t>
      </w:r>
      <w:r>
        <w:rPr>
          <w:rFonts w:hint="eastAsia" w:ascii="宋体" w:hAnsi="宋体" w:eastAsia="宋体"/>
          <w:b/>
          <w:bCs/>
          <w:sz w:val="24"/>
          <w:szCs w:val="24"/>
          <w:u w:val="single"/>
        </w:rPr>
        <w:t>南通大学附属实验小学厕所改造项目</w:t>
      </w:r>
      <w:r>
        <w:rPr>
          <w:rFonts w:hint="eastAsia" w:ascii="宋体" w:hAnsi="宋体" w:eastAsia="宋体" w:cs="仿宋"/>
          <w:sz w:val="24"/>
          <w:szCs w:val="24"/>
        </w:rPr>
        <w:t>实施询价采购，欢迎符合条件的供应商参加。</w:t>
      </w:r>
    </w:p>
    <w:p>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ascii="宋体" w:hAnsi="宋体" w:eastAsia="宋体"/>
          <w:b/>
          <w:bCs/>
          <w:sz w:val="24"/>
          <w:szCs w:val="24"/>
          <w:u w:val="single"/>
        </w:rPr>
      </w:pPr>
      <w:r>
        <w:rPr>
          <w:rFonts w:hint="eastAsia" w:ascii="宋体" w:hAnsi="宋体" w:eastAsia="宋体"/>
          <w:sz w:val="24"/>
          <w:szCs w:val="24"/>
        </w:rPr>
        <w:t>1、项目名称：</w:t>
      </w:r>
      <w:r>
        <w:rPr>
          <w:rFonts w:hint="eastAsia" w:ascii="宋体" w:hAnsi="宋体" w:eastAsia="宋体"/>
          <w:b/>
          <w:bCs/>
          <w:sz w:val="24"/>
          <w:szCs w:val="24"/>
          <w:u w:val="single"/>
        </w:rPr>
        <w:t>南通大学附属实验小学厕所改造项目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、预算金额：本项目采购预算为人民币4.2万元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rPr>
        <w:t>4.2</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、采购需求：南通大学附属实验小学厕所改造项目，详见询价文件附件。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 xml:space="preserve">、维修期： 自合同签定之日起10天内。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rPr>
        <w:t>需提交符合《政府采购法》第二十二条规定条件的声明函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u w:val="single"/>
          <w:shd w:val="clear" w:color="auto" w:fill="FFFFFF"/>
        </w:rPr>
        <w:t>2024</w:t>
      </w:r>
      <w:r>
        <w:rPr>
          <w:rFonts w:hint="eastAsia"/>
          <w:b/>
          <w:shd w:val="clear" w:color="auto" w:fill="FFFFFF"/>
        </w:rPr>
        <w:t>年</w:t>
      </w:r>
      <w:r>
        <w:rPr>
          <w:rFonts w:hint="eastAsia"/>
          <w:b/>
          <w:u w:val="single"/>
          <w:shd w:val="clear" w:color="auto" w:fill="FFFFFF"/>
        </w:rPr>
        <w:t>9</w:t>
      </w:r>
      <w:r>
        <w:rPr>
          <w:rFonts w:hint="eastAsia"/>
          <w:b/>
          <w:shd w:val="clear" w:color="auto" w:fill="FFFFFF"/>
        </w:rPr>
        <w:t>月</w:t>
      </w:r>
      <w:r>
        <w:rPr>
          <w:b/>
          <w:u w:val="single"/>
          <w:shd w:val="clear" w:color="auto" w:fill="FFFFFF"/>
        </w:rPr>
        <w:t>30</w:t>
      </w:r>
      <w:r>
        <w:rPr>
          <w:rFonts w:hint="eastAsia"/>
          <w:b/>
          <w:u w:val="single"/>
          <w:shd w:val="clear" w:color="auto" w:fill="FFFFFF"/>
        </w:rPr>
        <w:t>日9点00分</w:t>
      </w:r>
      <w:r>
        <w:rPr>
          <w:rFonts w:hint="eastAsia"/>
          <w:shd w:val="clear" w:color="auto" w:fill="FFFFFF"/>
        </w:rPr>
        <w:t>，逾期送达的询价响应文件将不予接收。</w:t>
      </w:r>
    </w:p>
    <w:p>
      <w:pPr>
        <w:pStyle w:val="9"/>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cs="Times New Roman"/>
          <w:shd w:val="clear" w:color="auto" w:fill="FFFFFF"/>
        </w:rPr>
        <w:t>南通大学附属实验小学 新河路3</w:t>
      </w:r>
      <w:r>
        <w:rPr>
          <w:rFonts w:cs="Times New Roman"/>
          <w:shd w:val="clear" w:color="auto" w:fill="FFFFFF"/>
        </w:rPr>
        <w:t>8</w:t>
      </w:r>
      <w:r>
        <w:rPr>
          <w:rFonts w:hint="eastAsia" w:cs="Times New Roman"/>
          <w:shd w:val="clear" w:color="auto" w:fill="FFFFFF"/>
        </w:rPr>
        <w:t>号崇真楼四楼会议室</w:t>
      </w:r>
    </w:p>
    <w:p>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sz w:val="24"/>
          <w:szCs w:val="24"/>
          <w:u w:val="single"/>
        </w:rPr>
        <w:t>2024年9月</w:t>
      </w:r>
      <w:r>
        <w:rPr>
          <w:rFonts w:ascii="宋体" w:hAnsi="宋体" w:eastAsia="宋体"/>
          <w:b/>
          <w:sz w:val="24"/>
          <w:szCs w:val="24"/>
          <w:u w:val="single"/>
        </w:rPr>
        <w:t>30</w:t>
      </w:r>
      <w:r>
        <w:rPr>
          <w:rFonts w:hint="eastAsia" w:ascii="宋体" w:hAnsi="宋体" w:eastAsia="宋体"/>
          <w:b/>
          <w:sz w:val="24"/>
          <w:szCs w:val="24"/>
          <w:u w:val="single"/>
        </w:rPr>
        <w:t>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招标人：</w:t>
      </w:r>
      <w:r>
        <w:rPr>
          <w:rFonts w:hint="eastAsia"/>
        </w:rPr>
        <w:t>南通大学附属实验小学</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b/>
          <w:kern w:val="2"/>
        </w:rPr>
        <w:t>联系人：</w:t>
      </w:r>
      <w:r>
        <w:rPr>
          <w:rFonts w:hint="eastAsia" w:cs="Times New Roman"/>
          <w:bCs/>
          <w:kern w:val="2"/>
        </w:rPr>
        <w:t>俞老师</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b/>
          <w:bCs/>
          <w:kern w:val="2"/>
        </w:rPr>
        <w:t>联系电话：</w:t>
      </w:r>
      <w:r>
        <w:t>13813748351</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pPr>
      <w:r>
        <w:rPr>
          <w:rFonts w:hint="eastAsia"/>
        </w:rPr>
        <w:t>南通大学附属实验小学</w:t>
      </w:r>
    </w:p>
    <w:p>
      <w:pPr>
        <w:pStyle w:val="19"/>
        <w:ind w:right="964" w:firstLine="0"/>
        <w:jc w:val="right"/>
        <w:rPr>
          <w:rFonts w:ascii="宋体" w:hAnsi="宋体"/>
          <w:b/>
          <w:kern w:val="2"/>
        </w:rPr>
      </w:pPr>
      <w:r>
        <w:rPr>
          <w:rFonts w:hint="eastAsia" w:ascii="宋体" w:hAnsi="宋体"/>
          <w:b/>
          <w:kern w:val="2"/>
        </w:rPr>
        <w:t>2024年9月</w:t>
      </w:r>
      <w:r>
        <w:rPr>
          <w:rFonts w:ascii="宋体" w:hAnsi="宋体"/>
          <w:b/>
          <w:kern w:val="2"/>
        </w:rPr>
        <w:t>25</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rPr>
          <w:rFonts w:ascii="黑体" w:hAnsi="黑体" w:eastAsia="黑体" w:cs="黑体"/>
          <w:b/>
          <w:bCs/>
        </w:rPr>
      </w:pPr>
      <w:bookmarkStart w:id="1" w:name="_Toc482279881"/>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42"/>
        <w:gridCol w:w="2606"/>
        <w:gridCol w:w="1217"/>
        <w:gridCol w:w="111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520" w:lineRule="exact"/>
              <w:jc w:val="center"/>
              <w:rPr>
                <w:sz w:val="28"/>
                <w:szCs w:val="32"/>
              </w:rPr>
            </w:pPr>
            <w:r>
              <w:rPr>
                <w:rFonts w:hint="eastAsia"/>
                <w:sz w:val="28"/>
                <w:szCs w:val="32"/>
              </w:rPr>
              <w:t>序号</w:t>
            </w:r>
          </w:p>
        </w:tc>
        <w:tc>
          <w:tcPr>
            <w:tcW w:w="1242" w:type="dxa"/>
          </w:tcPr>
          <w:p>
            <w:pPr>
              <w:spacing w:line="520" w:lineRule="exact"/>
              <w:jc w:val="center"/>
              <w:rPr>
                <w:sz w:val="28"/>
                <w:szCs w:val="32"/>
              </w:rPr>
            </w:pPr>
            <w:r>
              <w:rPr>
                <w:sz w:val="28"/>
                <w:szCs w:val="32"/>
              </w:rPr>
              <w:t>工作内容</w:t>
            </w:r>
          </w:p>
        </w:tc>
        <w:tc>
          <w:tcPr>
            <w:tcW w:w="2606" w:type="dxa"/>
          </w:tcPr>
          <w:p>
            <w:pPr>
              <w:spacing w:line="520" w:lineRule="exact"/>
              <w:jc w:val="center"/>
              <w:rPr>
                <w:sz w:val="28"/>
                <w:szCs w:val="32"/>
              </w:rPr>
            </w:pPr>
            <w:r>
              <w:rPr>
                <w:sz w:val="28"/>
                <w:szCs w:val="32"/>
              </w:rPr>
              <w:t>规格型号</w:t>
            </w:r>
          </w:p>
        </w:tc>
        <w:tc>
          <w:tcPr>
            <w:tcW w:w="1217" w:type="dxa"/>
          </w:tcPr>
          <w:p>
            <w:pPr>
              <w:spacing w:line="520" w:lineRule="exact"/>
              <w:jc w:val="center"/>
              <w:rPr>
                <w:sz w:val="28"/>
                <w:szCs w:val="32"/>
              </w:rPr>
            </w:pPr>
            <w:r>
              <w:rPr>
                <w:sz w:val="28"/>
                <w:szCs w:val="32"/>
              </w:rPr>
              <w:t>单位</w:t>
            </w:r>
          </w:p>
        </w:tc>
        <w:tc>
          <w:tcPr>
            <w:tcW w:w="1115" w:type="dxa"/>
          </w:tcPr>
          <w:p>
            <w:pPr>
              <w:spacing w:line="520" w:lineRule="exact"/>
              <w:jc w:val="center"/>
              <w:rPr>
                <w:sz w:val="28"/>
                <w:szCs w:val="32"/>
              </w:rPr>
            </w:pPr>
            <w:r>
              <w:rPr>
                <w:sz w:val="28"/>
                <w:szCs w:val="32"/>
              </w:rPr>
              <w:t>数量</w:t>
            </w:r>
          </w:p>
        </w:tc>
        <w:tc>
          <w:tcPr>
            <w:tcW w:w="1843" w:type="dxa"/>
          </w:tcPr>
          <w:p>
            <w:pPr>
              <w:spacing w:line="520" w:lineRule="exact"/>
              <w:jc w:val="center"/>
              <w:rPr>
                <w:sz w:val="28"/>
                <w:szCs w:val="32"/>
              </w:rPr>
            </w:pPr>
            <w:r>
              <w:rPr>
                <w:rFonts w:hint="eastAsia"/>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1" w:type="dxa"/>
            <w:shd w:val="clear" w:color="auto" w:fill="auto"/>
            <w:vAlign w:val="center"/>
          </w:tcPr>
          <w:p>
            <w:pPr>
              <w:spacing w:line="520" w:lineRule="exact"/>
              <w:jc w:val="center"/>
              <w:rPr>
                <w:sz w:val="28"/>
                <w:szCs w:val="32"/>
              </w:rPr>
            </w:pPr>
            <w:r>
              <w:rPr>
                <w:rFonts w:hint="eastAsia"/>
                <w:sz w:val="28"/>
                <w:szCs w:val="32"/>
              </w:rPr>
              <w:t>1</w:t>
            </w:r>
          </w:p>
        </w:tc>
        <w:tc>
          <w:tcPr>
            <w:tcW w:w="1242" w:type="dxa"/>
            <w:shd w:val="clear" w:color="auto" w:fill="auto"/>
            <w:vAlign w:val="center"/>
          </w:tcPr>
          <w:p>
            <w:pPr>
              <w:spacing w:line="520" w:lineRule="exact"/>
              <w:jc w:val="center"/>
              <w:rPr>
                <w:sz w:val="28"/>
                <w:szCs w:val="32"/>
              </w:rPr>
            </w:pPr>
            <w:r>
              <w:rPr>
                <w:rFonts w:hint="eastAsia"/>
                <w:sz w:val="28"/>
                <w:szCs w:val="32"/>
              </w:rPr>
              <w:t>墙面瓷砖铺贴</w:t>
            </w:r>
          </w:p>
        </w:tc>
        <w:tc>
          <w:tcPr>
            <w:tcW w:w="2606" w:type="dxa"/>
            <w:shd w:val="clear" w:color="auto" w:fill="auto"/>
            <w:vAlign w:val="center"/>
          </w:tcPr>
          <w:p>
            <w:pPr>
              <w:spacing w:line="520" w:lineRule="exact"/>
              <w:jc w:val="center"/>
              <w:rPr>
                <w:sz w:val="28"/>
                <w:szCs w:val="32"/>
              </w:rPr>
            </w:pPr>
            <w:r>
              <w:rPr>
                <w:rFonts w:hint="eastAsia"/>
                <w:sz w:val="28"/>
                <w:szCs w:val="32"/>
              </w:rPr>
              <w:t>300*300mm马赛克纹饰釉面砖</w:t>
            </w:r>
          </w:p>
        </w:tc>
        <w:tc>
          <w:tcPr>
            <w:tcW w:w="1217" w:type="dxa"/>
            <w:shd w:val="clear" w:color="auto" w:fill="auto"/>
            <w:vAlign w:val="center"/>
          </w:tcPr>
          <w:p>
            <w:pPr>
              <w:spacing w:line="520" w:lineRule="exact"/>
              <w:jc w:val="center"/>
              <w:rPr>
                <w:sz w:val="28"/>
                <w:szCs w:val="32"/>
              </w:rPr>
            </w:pPr>
            <w:r>
              <w:rPr>
                <w:rFonts w:hint="eastAsia"/>
                <w:sz w:val="28"/>
                <w:szCs w:val="32"/>
              </w:rPr>
              <w:t>㎡</w:t>
            </w:r>
          </w:p>
        </w:tc>
        <w:tc>
          <w:tcPr>
            <w:tcW w:w="1115" w:type="dxa"/>
            <w:shd w:val="clear" w:color="auto" w:fill="auto"/>
            <w:vAlign w:val="center"/>
          </w:tcPr>
          <w:p>
            <w:pPr>
              <w:spacing w:line="520" w:lineRule="exact"/>
              <w:jc w:val="center"/>
              <w:rPr>
                <w:sz w:val="28"/>
                <w:szCs w:val="32"/>
              </w:rPr>
            </w:pPr>
            <w:r>
              <w:rPr>
                <w:rFonts w:hint="eastAsia"/>
                <w:sz w:val="28"/>
                <w:szCs w:val="32"/>
              </w:rPr>
              <w:t>167.2</w:t>
            </w:r>
          </w:p>
        </w:tc>
        <w:tc>
          <w:tcPr>
            <w:tcW w:w="1843" w:type="dxa"/>
            <w:vMerge w:val="restart"/>
          </w:tcPr>
          <w:p>
            <w:pPr>
              <w:spacing w:line="520" w:lineRule="exact"/>
              <w:jc w:val="center"/>
              <w:rPr>
                <w:sz w:val="28"/>
                <w:szCs w:val="32"/>
              </w:rPr>
            </w:pPr>
            <w:r>
              <w:rPr>
                <w:rFonts w:hint="eastAsia"/>
                <w:sz w:val="28"/>
                <w:szCs w:val="32"/>
              </w:rPr>
              <w:t>含原瓷砖拆除、清运，水泥黄沙，原地砖拆除及劳务费</w:t>
            </w:r>
          </w:p>
          <w:p>
            <w:pPr>
              <w:spacing w:line="52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61" w:type="dxa"/>
            <w:shd w:val="clear" w:color="auto" w:fill="auto"/>
            <w:vAlign w:val="center"/>
          </w:tcPr>
          <w:p>
            <w:pPr>
              <w:spacing w:line="520" w:lineRule="exact"/>
              <w:jc w:val="center"/>
              <w:rPr>
                <w:sz w:val="28"/>
                <w:szCs w:val="32"/>
              </w:rPr>
            </w:pPr>
            <w:r>
              <w:rPr>
                <w:rFonts w:hint="eastAsia"/>
                <w:sz w:val="28"/>
                <w:szCs w:val="32"/>
              </w:rPr>
              <w:t>2</w:t>
            </w:r>
          </w:p>
        </w:tc>
        <w:tc>
          <w:tcPr>
            <w:tcW w:w="1242" w:type="dxa"/>
            <w:shd w:val="clear" w:color="auto" w:fill="auto"/>
            <w:vAlign w:val="center"/>
          </w:tcPr>
          <w:p>
            <w:pPr>
              <w:spacing w:line="520" w:lineRule="exact"/>
              <w:jc w:val="center"/>
              <w:rPr>
                <w:sz w:val="28"/>
                <w:szCs w:val="32"/>
              </w:rPr>
            </w:pPr>
            <w:r>
              <w:rPr>
                <w:rFonts w:hint="eastAsia"/>
                <w:sz w:val="28"/>
                <w:szCs w:val="32"/>
              </w:rPr>
              <w:t>地砖铺贴</w:t>
            </w:r>
          </w:p>
        </w:tc>
        <w:tc>
          <w:tcPr>
            <w:tcW w:w="2606" w:type="dxa"/>
            <w:shd w:val="clear" w:color="auto" w:fill="auto"/>
            <w:vAlign w:val="center"/>
          </w:tcPr>
          <w:p>
            <w:pPr>
              <w:spacing w:line="520" w:lineRule="exact"/>
              <w:jc w:val="center"/>
              <w:rPr>
                <w:sz w:val="28"/>
                <w:szCs w:val="32"/>
              </w:rPr>
            </w:pPr>
            <w:r>
              <w:rPr>
                <w:rFonts w:hint="eastAsia"/>
                <w:sz w:val="28"/>
                <w:szCs w:val="32"/>
              </w:rPr>
              <w:t>300*300mm釉面防滑砖</w:t>
            </w:r>
          </w:p>
        </w:tc>
        <w:tc>
          <w:tcPr>
            <w:tcW w:w="1217" w:type="dxa"/>
            <w:shd w:val="clear" w:color="auto" w:fill="auto"/>
            <w:vAlign w:val="center"/>
          </w:tcPr>
          <w:p>
            <w:pPr>
              <w:spacing w:line="520" w:lineRule="exact"/>
              <w:jc w:val="center"/>
              <w:rPr>
                <w:sz w:val="28"/>
                <w:szCs w:val="32"/>
              </w:rPr>
            </w:pPr>
            <w:r>
              <w:rPr>
                <w:rFonts w:hint="eastAsia"/>
                <w:sz w:val="28"/>
                <w:szCs w:val="32"/>
              </w:rPr>
              <w:t>㎡</w:t>
            </w:r>
          </w:p>
        </w:tc>
        <w:tc>
          <w:tcPr>
            <w:tcW w:w="1115" w:type="dxa"/>
            <w:shd w:val="clear" w:color="auto" w:fill="auto"/>
            <w:vAlign w:val="center"/>
          </w:tcPr>
          <w:p>
            <w:pPr>
              <w:spacing w:line="520" w:lineRule="exact"/>
              <w:jc w:val="center"/>
              <w:rPr>
                <w:sz w:val="28"/>
                <w:szCs w:val="32"/>
              </w:rPr>
            </w:pPr>
            <w:r>
              <w:rPr>
                <w:rFonts w:hint="eastAsia"/>
                <w:sz w:val="28"/>
                <w:szCs w:val="32"/>
              </w:rPr>
              <w:t>43.6</w:t>
            </w:r>
          </w:p>
        </w:tc>
        <w:tc>
          <w:tcPr>
            <w:tcW w:w="1843" w:type="dxa"/>
            <w:vMerge w:val="continue"/>
          </w:tcPr>
          <w:p>
            <w:pPr>
              <w:spacing w:line="52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1" w:type="dxa"/>
            <w:shd w:val="clear" w:color="auto" w:fill="auto"/>
            <w:vAlign w:val="center"/>
          </w:tcPr>
          <w:p>
            <w:pPr>
              <w:spacing w:line="520" w:lineRule="exact"/>
              <w:jc w:val="center"/>
              <w:rPr>
                <w:sz w:val="28"/>
                <w:szCs w:val="32"/>
              </w:rPr>
            </w:pPr>
            <w:r>
              <w:rPr>
                <w:rFonts w:hint="eastAsia"/>
                <w:sz w:val="28"/>
                <w:szCs w:val="32"/>
              </w:rPr>
              <w:t>3</w:t>
            </w:r>
          </w:p>
        </w:tc>
        <w:tc>
          <w:tcPr>
            <w:tcW w:w="1242" w:type="dxa"/>
            <w:shd w:val="clear" w:color="auto" w:fill="auto"/>
            <w:vAlign w:val="center"/>
          </w:tcPr>
          <w:p>
            <w:pPr>
              <w:spacing w:line="520" w:lineRule="exact"/>
              <w:jc w:val="center"/>
              <w:rPr>
                <w:sz w:val="28"/>
                <w:szCs w:val="32"/>
              </w:rPr>
            </w:pPr>
            <w:r>
              <w:rPr>
                <w:rFonts w:hint="eastAsia"/>
                <w:sz w:val="28"/>
                <w:szCs w:val="32"/>
              </w:rPr>
              <w:t>品牌开关、品牌插座</w:t>
            </w:r>
          </w:p>
        </w:tc>
        <w:tc>
          <w:tcPr>
            <w:tcW w:w="2606" w:type="dxa"/>
            <w:shd w:val="clear" w:color="auto" w:fill="auto"/>
            <w:vAlign w:val="center"/>
          </w:tcPr>
          <w:p>
            <w:pPr>
              <w:spacing w:line="520" w:lineRule="exact"/>
              <w:jc w:val="center"/>
              <w:rPr>
                <w:sz w:val="28"/>
                <w:szCs w:val="32"/>
              </w:rPr>
            </w:pPr>
            <w:r>
              <w:rPr>
                <w:rFonts w:hint="eastAsia"/>
                <w:sz w:val="28"/>
                <w:szCs w:val="32"/>
              </w:rPr>
              <w:t>一开开关（4只）、五孔插座（8只）</w:t>
            </w:r>
          </w:p>
        </w:tc>
        <w:tc>
          <w:tcPr>
            <w:tcW w:w="1217" w:type="dxa"/>
            <w:shd w:val="clear" w:color="auto" w:fill="auto"/>
            <w:vAlign w:val="center"/>
          </w:tcPr>
          <w:p>
            <w:pPr>
              <w:spacing w:line="520" w:lineRule="exact"/>
              <w:jc w:val="center"/>
              <w:rPr>
                <w:sz w:val="28"/>
                <w:szCs w:val="32"/>
              </w:rPr>
            </w:pPr>
            <w:r>
              <w:rPr>
                <w:rFonts w:hint="eastAsia"/>
                <w:sz w:val="28"/>
                <w:szCs w:val="32"/>
              </w:rPr>
              <w:t>只</w:t>
            </w:r>
          </w:p>
        </w:tc>
        <w:tc>
          <w:tcPr>
            <w:tcW w:w="1115" w:type="dxa"/>
            <w:shd w:val="clear" w:color="auto" w:fill="auto"/>
            <w:vAlign w:val="center"/>
          </w:tcPr>
          <w:p>
            <w:pPr>
              <w:spacing w:line="520" w:lineRule="exact"/>
              <w:jc w:val="center"/>
              <w:rPr>
                <w:sz w:val="28"/>
                <w:szCs w:val="32"/>
              </w:rPr>
            </w:pPr>
            <w:r>
              <w:rPr>
                <w:rFonts w:hint="eastAsia"/>
                <w:sz w:val="28"/>
                <w:szCs w:val="32"/>
              </w:rPr>
              <w:t>12</w:t>
            </w:r>
          </w:p>
        </w:tc>
        <w:tc>
          <w:tcPr>
            <w:tcW w:w="1843" w:type="dxa"/>
          </w:tcPr>
          <w:p>
            <w:pPr>
              <w:spacing w:line="52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1" w:type="dxa"/>
            <w:shd w:val="clear" w:color="auto" w:fill="auto"/>
            <w:vAlign w:val="center"/>
          </w:tcPr>
          <w:p>
            <w:pPr>
              <w:spacing w:line="520" w:lineRule="exact"/>
              <w:jc w:val="center"/>
              <w:rPr>
                <w:sz w:val="28"/>
                <w:szCs w:val="32"/>
              </w:rPr>
            </w:pPr>
            <w:r>
              <w:rPr>
                <w:rFonts w:hint="eastAsia"/>
                <w:sz w:val="28"/>
                <w:szCs w:val="32"/>
              </w:rPr>
              <w:t>4</w:t>
            </w:r>
          </w:p>
        </w:tc>
        <w:tc>
          <w:tcPr>
            <w:tcW w:w="1242" w:type="dxa"/>
            <w:shd w:val="clear" w:color="auto" w:fill="auto"/>
            <w:vAlign w:val="center"/>
          </w:tcPr>
          <w:p>
            <w:pPr>
              <w:spacing w:line="520" w:lineRule="exact"/>
              <w:jc w:val="center"/>
              <w:rPr>
                <w:sz w:val="28"/>
                <w:szCs w:val="32"/>
              </w:rPr>
            </w:pPr>
            <w:r>
              <w:rPr>
                <w:rFonts w:hint="eastAsia"/>
                <w:sz w:val="28"/>
                <w:szCs w:val="32"/>
              </w:rPr>
              <w:t>厕门</w:t>
            </w:r>
          </w:p>
        </w:tc>
        <w:tc>
          <w:tcPr>
            <w:tcW w:w="2606" w:type="dxa"/>
            <w:shd w:val="clear" w:color="auto" w:fill="auto"/>
            <w:vAlign w:val="center"/>
          </w:tcPr>
          <w:p>
            <w:pPr>
              <w:spacing w:line="520" w:lineRule="exact"/>
              <w:jc w:val="center"/>
              <w:rPr>
                <w:sz w:val="28"/>
                <w:szCs w:val="32"/>
              </w:rPr>
            </w:pPr>
            <w:r>
              <w:rPr>
                <w:rFonts w:hint="eastAsia"/>
                <w:sz w:val="28"/>
                <w:szCs w:val="32"/>
              </w:rPr>
              <w:t>抗倍特板 20mm厚度含五金材料劳务</w:t>
            </w:r>
          </w:p>
        </w:tc>
        <w:tc>
          <w:tcPr>
            <w:tcW w:w="1217" w:type="dxa"/>
            <w:shd w:val="clear" w:color="auto" w:fill="auto"/>
            <w:vAlign w:val="center"/>
          </w:tcPr>
          <w:p>
            <w:pPr>
              <w:spacing w:line="520" w:lineRule="exact"/>
              <w:jc w:val="center"/>
              <w:rPr>
                <w:sz w:val="28"/>
                <w:szCs w:val="32"/>
              </w:rPr>
            </w:pPr>
            <w:r>
              <w:rPr>
                <w:sz w:val="28"/>
                <w:szCs w:val="32"/>
              </w:rPr>
              <w:t>㎡</w:t>
            </w:r>
          </w:p>
        </w:tc>
        <w:tc>
          <w:tcPr>
            <w:tcW w:w="1115" w:type="dxa"/>
            <w:shd w:val="clear" w:color="auto" w:fill="auto"/>
            <w:vAlign w:val="center"/>
          </w:tcPr>
          <w:p>
            <w:pPr>
              <w:spacing w:line="520" w:lineRule="exact"/>
              <w:jc w:val="center"/>
              <w:rPr>
                <w:sz w:val="28"/>
                <w:szCs w:val="32"/>
              </w:rPr>
            </w:pPr>
            <w:r>
              <w:rPr>
                <w:rFonts w:hint="eastAsia"/>
                <w:sz w:val="28"/>
                <w:szCs w:val="32"/>
              </w:rPr>
              <w:t>41</w:t>
            </w:r>
          </w:p>
        </w:tc>
        <w:tc>
          <w:tcPr>
            <w:tcW w:w="1843" w:type="dxa"/>
          </w:tcPr>
          <w:p>
            <w:pPr>
              <w:spacing w:line="52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1" w:type="dxa"/>
            <w:vAlign w:val="center"/>
          </w:tcPr>
          <w:p>
            <w:pPr>
              <w:spacing w:line="520" w:lineRule="exact"/>
              <w:jc w:val="center"/>
              <w:rPr>
                <w:sz w:val="28"/>
                <w:szCs w:val="32"/>
              </w:rPr>
            </w:pPr>
            <w:r>
              <w:rPr>
                <w:rFonts w:hint="eastAsia"/>
                <w:sz w:val="28"/>
                <w:szCs w:val="32"/>
              </w:rPr>
              <w:t>5</w:t>
            </w:r>
          </w:p>
        </w:tc>
        <w:tc>
          <w:tcPr>
            <w:tcW w:w="1242" w:type="dxa"/>
            <w:vAlign w:val="center"/>
          </w:tcPr>
          <w:p>
            <w:pPr>
              <w:spacing w:line="520" w:lineRule="exact"/>
              <w:jc w:val="center"/>
              <w:rPr>
                <w:sz w:val="28"/>
                <w:szCs w:val="32"/>
              </w:rPr>
            </w:pPr>
            <w:r>
              <w:rPr>
                <w:sz w:val="28"/>
                <w:szCs w:val="32"/>
              </w:rPr>
              <w:t>水池</w:t>
            </w:r>
          </w:p>
        </w:tc>
        <w:tc>
          <w:tcPr>
            <w:tcW w:w="2606" w:type="dxa"/>
            <w:vAlign w:val="center"/>
          </w:tcPr>
          <w:p>
            <w:pPr>
              <w:spacing w:line="520" w:lineRule="exact"/>
              <w:jc w:val="center"/>
              <w:rPr>
                <w:sz w:val="28"/>
                <w:szCs w:val="32"/>
              </w:rPr>
            </w:pPr>
            <w:r>
              <w:rPr>
                <w:rFonts w:hint="eastAsia"/>
                <w:sz w:val="28"/>
                <w:szCs w:val="32"/>
              </w:rPr>
              <w:t>陶瓷盆尺寸600*400mm以上，304不锈钢龙头及下水</w:t>
            </w:r>
          </w:p>
        </w:tc>
        <w:tc>
          <w:tcPr>
            <w:tcW w:w="1217" w:type="dxa"/>
            <w:vAlign w:val="center"/>
          </w:tcPr>
          <w:p>
            <w:pPr>
              <w:spacing w:line="520" w:lineRule="exact"/>
              <w:jc w:val="center"/>
              <w:rPr>
                <w:sz w:val="28"/>
                <w:szCs w:val="32"/>
              </w:rPr>
            </w:pPr>
            <w:r>
              <w:rPr>
                <w:sz w:val="28"/>
                <w:szCs w:val="32"/>
              </w:rPr>
              <w:t>套</w:t>
            </w:r>
          </w:p>
        </w:tc>
        <w:tc>
          <w:tcPr>
            <w:tcW w:w="1115" w:type="dxa"/>
            <w:vAlign w:val="center"/>
          </w:tcPr>
          <w:p>
            <w:pPr>
              <w:spacing w:line="520" w:lineRule="exact"/>
              <w:jc w:val="center"/>
              <w:rPr>
                <w:sz w:val="28"/>
                <w:szCs w:val="32"/>
              </w:rPr>
            </w:pPr>
            <w:r>
              <w:rPr>
                <w:rFonts w:hint="eastAsia"/>
                <w:sz w:val="28"/>
                <w:szCs w:val="32"/>
              </w:rPr>
              <w:t>4</w:t>
            </w:r>
          </w:p>
        </w:tc>
        <w:tc>
          <w:tcPr>
            <w:tcW w:w="1843" w:type="dxa"/>
          </w:tcPr>
          <w:p>
            <w:pPr>
              <w:spacing w:line="52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61" w:type="dxa"/>
            <w:vAlign w:val="center"/>
          </w:tcPr>
          <w:p>
            <w:pPr>
              <w:spacing w:line="520" w:lineRule="exact"/>
              <w:jc w:val="center"/>
              <w:rPr>
                <w:sz w:val="28"/>
                <w:szCs w:val="32"/>
              </w:rPr>
            </w:pPr>
            <w:r>
              <w:rPr>
                <w:rFonts w:hint="eastAsia"/>
                <w:sz w:val="28"/>
                <w:szCs w:val="32"/>
              </w:rPr>
              <w:t>6</w:t>
            </w:r>
          </w:p>
        </w:tc>
        <w:tc>
          <w:tcPr>
            <w:tcW w:w="1242" w:type="dxa"/>
            <w:vAlign w:val="center"/>
          </w:tcPr>
          <w:p>
            <w:pPr>
              <w:spacing w:line="520" w:lineRule="exact"/>
              <w:jc w:val="center"/>
              <w:rPr>
                <w:sz w:val="28"/>
                <w:szCs w:val="32"/>
              </w:rPr>
            </w:pPr>
            <w:r>
              <w:rPr>
                <w:rFonts w:hint="eastAsia"/>
                <w:sz w:val="28"/>
                <w:szCs w:val="32"/>
              </w:rPr>
              <w:t>门帘</w:t>
            </w:r>
          </w:p>
        </w:tc>
        <w:tc>
          <w:tcPr>
            <w:tcW w:w="2606" w:type="dxa"/>
            <w:vAlign w:val="center"/>
          </w:tcPr>
          <w:p>
            <w:pPr>
              <w:spacing w:line="520" w:lineRule="exact"/>
              <w:jc w:val="center"/>
              <w:rPr>
                <w:sz w:val="28"/>
                <w:szCs w:val="32"/>
              </w:rPr>
            </w:pPr>
            <w:r>
              <w:rPr>
                <w:sz w:val="28"/>
                <w:szCs w:val="32"/>
              </w:rPr>
              <w:drawing>
                <wp:anchor distT="0" distB="0" distL="114300" distR="114300" simplePos="0" relativeHeight="251659264" behindDoc="0" locked="0" layoutInCell="1" allowOverlap="1">
                  <wp:simplePos x="0" y="0"/>
                  <wp:positionH relativeFrom="column">
                    <wp:posOffset>550545</wp:posOffset>
                  </wp:positionH>
                  <wp:positionV relativeFrom="paragraph">
                    <wp:posOffset>127635</wp:posOffset>
                  </wp:positionV>
                  <wp:extent cx="795020" cy="1059180"/>
                  <wp:effectExtent l="0" t="0" r="5080" b="7620"/>
                  <wp:wrapNone/>
                  <wp:docPr id="1" name="图片 1" descr="d9c9e35a6378d20a3312736c077d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c9e35a6378d20a3312736c077ddcc"/>
                          <pic:cNvPicPr>
                            <a:picLocks noChangeAspect="1"/>
                          </pic:cNvPicPr>
                        </pic:nvPicPr>
                        <pic:blipFill>
                          <a:blip r:embed="rId10"/>
                          <a:stretch>
                            <a:fillRect/>
                          </a:stretch>
                        </pic:blipFill>
                        <pic:spPr>
                          <a:xfrm>
                            <a:off x="0" y="0"/>
                            <a:ext cx="795020" cy="1059180"/>
                          </a:xfrm>
                          <a:prstGeom prst="rect">
                            <a:avLst/>
                          </a:prstGeom>
                        </pic:spPr>
                      </pic:pic>
                    </a:graphicData>
                  </a:graphic>
                </wp:anchor>
              </w:drawing>
            </w:r>
          </w:p>
        </w:tc>
        <w:tc>
          <w:tcPr>
            <w:tcW w:w="1217" w:type="dxa"/>
            <w:vAlign w:val="center"/>
          </w:tcPr>
          <w:p>
            <w:pPr>
              <w:spacing w:line="520" w:lineRule="exact"/>
              <w:jc w:val="center"/>
              <w:rPr>
                <w:sz w:val="28"/>
                <w:szCs w:val="32"/>
              </w:rPr>
            </w:pPr>
            <w:r>
              <w:rPr>
                <w:rFonts w:hint="eastAsia"/>
                <w:sz w:val="28"/>
                <w:szCs w:val="32"/>
              </w:rPr>
              <w:t>幅</w:t>
            </w:r>
          </w:p>
        </w:tc>
        <w:tc>
          <w:tcPr>
            <w:tcW w:w="1115" w:type="dxa"/>
            <w:vAlign w:val="center"/>
          </w:tcPr>
          <w:p>
            <w:pPr>
              <w:spacing w:line="520" w:lineRule="exact"/>
              <w:jc w:val="center"/>
              <w:rPr>
                <w:sz w:val="28"/>
                <w:szCs w:val="32"/>
              </w:rPr>
            </w:pPr>
            <w:r>
              <w:rPr>
                <w:rFonts w:hint="eastAsia"/>
                <w:sz w:val="28"/>
                <w:szCs w:val="32"/>
              </w:rPr>
              <w:t>4</w:t>
            </w:r>
          </w:p>
        </w:tc>
        <w:tc>
          <w:tcPr>
            <w:tcW w:w="1843" w:type="dxa"/>
          </w:tcPr>
          <w:p>
            <w:pPr>
              <w:spacing w:line="52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61" w:type="dxa"/>
            <w:vAlign w:val="center"/>
          </w:tcPr>
          <w:p>
            <w:pPr>
              <w:spacing w:line="520" w:lineRule="exact"/>
              <w:jc w:val="center"/>
              <w:rPr>
                <w:sz w:val="28"/>
                <w:szCs w:val="32"/>
              </w:rPr>
            </w:pPr>
            <w:r>
              <w:rPr>
                <w:rFonts w:hint="eastAsia"/>
                <w:sz w:val="28"/>
                <w:szCs w:val="32"/>
              </w:rPr>
              <w:t>7</w:t>
            </w:r>
          </w:p>
        </w:tc>
        <w:tc>
          <w:tcPr>
            <w:tcW w:w="1242" w:type="dxa"/>
            <w:vAlign w:val="center"/>
          </w:tcPr>
          <w:p>
            <w:pPr>
              <w:spacing w:line="520" w:lineRule="exact"/>
              <w:jc w:val="center"/>
              <w:rPr>
                <w:sz w:val="28"/>
                <w:szCs w:val="32"/>
              </w:rPr>
            </w:pPr>
            <w:r>
              <w:rPr>
                <w:sz w:val="28"/>
                <w:szCs w:val="32"/>
              </w:rPr>
              <w:t>腻子油漆</w:t>
            </w:r>
          </w:p>
        </w:tc>
        <w:tc>
          <w:tcPr>
            <w:tcW w:w="2606" w:type="dxa"/>
            <w:vAlign w:val="center"/>
          </w:tcPr>
          <w:p>
            <w:pPr>
              <w:spacing w:line="520" w:lineRule="exact"/>
              <w:jc w:val="center"/>
              <w:rPr>
                <w:sz w:val="28"/>
                <w:szCs w:val="32"/>
              </w:rPr>
            </w:pPr>
            <w:r>
              <w:rPr>
                <w:rFonts w:hint="eastAsia"/>
                <w:sz w:val="28"/>
                <w:szCs w:val="32"/>
              </w:rPr>
              <w:t>腻子两遍以上，防水乳胶漆</w:t>
            </w:r>
          </w:p>
        </w:tc>
        <w:tc>
          <w:tcPr>
            <w:tcW w:w="1217" w:type="dxa"/>
            <w:vAlign w:val="center"/>
          </w:tcPr>
          <w:p>
            <w:pPr>
              <w:spacing w:line="520" w:lineRule="exact"/>
              <w:jc w:val="center"/>
              <w:rPr>
                <w:sz w:val="28"/>
                <w:szCs w:val="32"/>
              </w:rPr>
            </w:pPr>
            <w:r>
              <w:rPr>
                <w:sz w:val="28"/>
                <w:szCs w:val="32"/>
              </w:rPr>
              <w:t>㎡</w:t>
            </w:r>
          </w:p>
        </w:tc>
        <w:tc>
          <w:tcPr>
            <w:tcW w:w="1115" w:type="dxa"/>
            <w:vAlign w:val="center"/>
          </w:tcPr>
          <w:p>
            <w:pPr>
              <w:spacing w:line="520" w:lineRule="exact"/>
              <w:jc w:val="center"/>
              <w:rPr>
                <w:sz w:val="28"/>
                <w:szCs w:val="32"/>
              </w:rPr>
            </w:pPr>
            <w:r>
              <w:rPr>
                <w:rFonts w:hint="eastAsia"/>
                <w:sz w:val="28"/>
                <w:szCs w:val="32"/>
              </w:rPr>
              <w:t>44</w:t>
            </w:r>
          </w:p>
        </w:tc>
        <w:tc>
          <w:tcPr>
            <w:tcW w:w="1843" w:type="dxa"/>
          </w:tcPr>
          <w:p>
            <w:pPr>
              <w:spacing w:line="52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61" w:type="dxa"/>
            <w:vAlign w:val="center"/>
          </w:tcPr>
          <w:p>
            <w:pPr>
              <w:spacing w:line="520" w:lineRule="exact"/>
              <w:jc w:val="center"/>
              <w:rPr>
                <w:sz w:val="28"/>
                <w:szCs w:val="32"/>
              </w:rPr>
            </w:pPr>
            <w:r>
              <w:rPr>
                <w:rFonts w:hint="eastAsia"/>
                <w:sz w:val="28"/>
                <w:szCs w:val="32"/>
              </w:rPr>
              <w:t>8</w:t>
            </w:r>
          </w:p>
        </w:tc>
        <w:tc>
          <w:tcPr>
            <w:tcW w:w="1242" w:type="dxa"/>
            <w:vAlign w:val="center"/>
          </w:tcPr>
          <w:p>
            <w:pPr>
              <w:spacing w:line="520" w:lineRule="exact"/>
              <w:jc w:val="center"/>
              <w:rPr>
                <w:sz w:val="28"/>
                <w:szCs w:val="32"/>
              </w:rPr>
            </w:pPr>
            <w:r>
              <w:rPr>
                <w:sz w:val="28"/>
                <w:szCs w:val="32"/>
              </w:rPr>
              <w:t>灯具</w:t>
            </w:r>
          </w:p>
        </w:tc>
        <w:tc>
          <w:tcPr>
            <w:tcW w:w="2606" w:type="dxa"/>
            <w:vAlign w:val="center"/>
          </w:tcPr>
          <w:p>
            <w:pPr>
              <w:spacing w:line="520" w:lineRule="exact"/>
              <w:jc w:val="center"/>
              <w:rPr>
                <w:sz w:val="28"/>
                <w:szCs w:val="32"/>
              </w:rPr>
            </w:pPr>
            <w:r>
              <w:rPr>
                <w:rFonts w:hint="eastAsia"/>
                <w:sz w:val="28"/>
                <w:szCs w:val="32"/>
              </w:rPr>
              <w:t>450mm吸顶灯</w:t>
            </w:r>
          </w:p>
        </w:tc>
        <w:tc>
          <w:tcPr>
            <w:tcW w:w="1217" w:type="dxa"/>
            <w:vAlign w:val="center"/>
          </w:tcPr>
          <w:p>
            <w:pPr>
              <w:spacing w:line="520" w:lineRule="exact"/>
              <w:jc w:val="center"/>
              <w:rPr>
                <w:sz w:val="28"/>
                <w:szCs w:val="32"/>
              </w:rPr>
            </w:pPr>
            <w:r>
              <w:rPr>
                <w:sz w:val="28"/>
                <w:szCs w:val="32"/>
              </w:rPr>
              <w:t>盏</w:t>
            </w:r>
          </w:p>
        </w:tc>
        <w:tc>
          <w:tcPr>
            <w:tcW w:w="1115" w:type="dxa"/>
            <w:vAlign w:val="center"/>
          </w:tcPr>
          <w:p>
            <w:pPr>
              <w:spacing w:line="520" w:lineRule="exact"/>
              <w:jc w:val="center"/>
              <w:rPr>
                <w:sz w:val="28"/>
                <w:szCs w:val="32"/>
              </w:rPr>
            </w:pPr>
            <w:r>
              <w:rPr>
                <w:rFonts w:hint="eastAsia"/>
                <w:sz w:val="28"/>
                <w:szCs w:val="32"/>
              </w:rPr>
              <w:t>4</w:t>
            </w:r>
          </w:p>
        </w:tc>
        <w:tc>
          <w:tcPr>
            <w:tcW w:w="1843" w:type="dxa"/>
          </w:tcPr>
          <w:p>
            <w:pPr>
              <w:spacing w:line="52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61" w:type="dxa"/>
            <w:vAlign w:val="center"/>
          </w:tcPr>
          <w:p>
            <w:pPr>
              <w:spacing w:line="520" w:lineRule="exact"/>
              <w:jc w:val="center"/>
              <w:rPr>
                <w:sz w:val="28"/>
                <w:szCs w:val="32"/>
              </w:rPr>
            </w:pPr>
            <w:r>
              <w:rPr>
                <w:rFonts w:hint="eastAsia"/>
                <w:sz w:val="28"/>
                <w:szCs w:val="32"/>
              </w:rPr>
              <w:t>9</w:t>
            </w:r>
          </w:p>
        </w:tc>
        <w:tc>
          <w:tcPr>
            <w:tcW w:w="1242" w:type="dxa"/>
            <w:vAlign w:val="center"/>
          </w:tcPr>
          <w:p>
            <w:pPr>
              <w:spacing w:line="520" w:lineRule="exact"/>
              <w:jc w:val="center"/>
              <w:rPr>
                <w:sz w:val="28"/>
                <w:szCs w:val="32"/>
              </w:rPr>
            </w:pPr>
            <w:r>
              <w:rPr>
                <w:rFonts w:hint="eastAsia"/>
                <w:sz w:val="28"/>
                <w:szCs w:val="32"/>
              </w:rPr>
              <w:t>铲墙清运</w:t>
            </w:r>
          </w:p>
        </w:tc>
        <w:tc>
          <w:tcPr>
            <w:tcW w:w="2606" w:type="dxa"/>
            <w:vAlign w:val="center"/>
          </w:tcPr>
          <w:p>
            <w:pPr>
              <w:spacing w:line="520" w:lineRule="exact"/>
              <w:jc w:val="center"/>
              <w:rPr>
                <w:sz w:val="28"/>
                <w:szCs w:val="32"/>
              </w:rPr>
            </w:pPr>
            <w:r>
              <w:rPr>
                <w:rFonts w:hint="eastAsia"/>
                <w:sz w:val="28"/>
                <w:szCs w:val="32"/>
              </w:rPr>
              <w:t>垃圾清运及瓷地砖破碎搬运</w:t>
            </w:r>
          </w:p>
        </w:tc>
        <w:tc>
          <w:tcPr>
            <w:tcW w:w="1217" w:type="dxa"/>
            <w:vAlign w:val="center"/>
          </w:tcPr>
          <w:p>
            <w:pPr>
              <w:spacing w:line="520" w:lineRule="exact"/>
              <w:jc w:val="center"/>
              <w:rPr>
                <w:sz w:val="28"/>
                <w:szCs w:val="32"/>
              </w:rPr>
            </w:pPr>
            <w:r>
              <w:rPr>
                <w:rFonts w:hint="eastAsia"/>
                <w:sz w:val="28"/>
                <w:szCs w:val="32"/>
              </w:rPr>
              <w:t>项</w:t>
            </w:r>
          </w:p>
        </w:tc>
        <w:tc>
          <w:tcPr>
            <w:tcW w:w="1115" w:type="dxa"/>
            <w:vAlign w:val="center"/>
          </w:tcPr>
          <w:p>
            <w:pPr>
              <w:spacing w:line="520" w:lineRule="exact"/>
              <w:jc w:val="center"/>
              <w:rPr>
                <w:sz w:val="28"/>
                <w:szCs w:val="32"/>
              </w:rPr>
            </w:pPr>
            <w:r>
              <w:rPr>
                <w:rFonts w:hint="eastAsia"/>
                <w:sz w:val="28"/>
                <w:szCs w:val="32"/>
              </w:rPr>
              <w:t>1</w:t>
            </w:r>
          </w:p>
        </w:tc>
        <w:tc>
          <w:tcPr>
            <w:tcW w:w="1843" w:type="dxa"/>
          </w:tcPr>
          <w:p>
            <w:pPr>
              <w:spacing w:line="52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61" w:type="dxa"/>
            <w:vAlign w:val="center"/>
          </w:tcPr>
          <w:p>
            <w:pPr>
              <w:spacing w:line="520" w:lineRule="exact"/>
              <w:jc w:val="center"/>
              <w:rPr>
                <w:rFonts w:hint="eastAsia"/>
                <w:sz w:val="28"/>
                <w:szCs w:val="32"/>
              </w:rPr>
            </w:pPr>
            <w:r>
              <w:rPr>
                <w:rFonts w:hint="eastAsia"/>
                <w:sz w:val="28"/>
                <w:szCs w:val="32"/>
              </w:rPr>
              <w:t>1</w:t>
            </w:r>
            <w:r>
              <w:rPr>
                <w:sz w:val="28"/>
                <w:szCs w:val="32"/>
              </w:rPr>
              <w:t>0</w:t>
            </w:r>
          </w:p>
        </w:tc>
        <w:tc>
          <w:tcPr>
            <w:tcW w:w="1242" w:type="dxa"/>
            <w:vAlign w:val="center"/>
          </w:tcPr>
          <w:p>
            <w:pPr>
              <w:spacing w:line="520" w:lineRule="exact"/>
              <w:rPr>
                <w:rFonts w:hint="eastAsia"/>
                <w:sz w:val="28"/>
                <w:szCs w:val="32"/>
              </w:rPr>
            </w:pPr>
            <w:r>
              <w:rPr>
                <w:rFonts w:hint="eastAsia"/>
                <w:sz w:val="28"/>
                <w:szCs w:val="32"/>
              </w:rPr>
              <w:t>铝扣板吊顶</w:t>
            </w:r>
          </w:p>
        </w:tc>
        <w:tc>
          <w:tcPr>
            <w:tcW w:w="2606" w:type="dxa"/>
            <w:vAlign w:val="center"/>
          </w:tcPr>
          <w:p>
            <w:pPr>
              <w:spacing w:line="520" w:lineRule="exact"/>
              <w:jc w:val="center"/>
              <w:rPr>
                <w:rFonts w:hint="eastAsia"/>
                <w:sz w:val="28"/>
                <w:szCs w:val="32"/>
              </w:rPr>
            </w:pPr>
            <w:r>
              <w:rPr>
                <w:rFonts w:hint="eastAsia"/>
                <w:sz w:val="28"/>
                <w:szCs w:val="32"/>
              </w:rPr>
              <w:t>3</w:t>
            </w:r>
            <w:r>
              <w:rPr>
                <w:sz w:val="28"/>
                <w:szCs w:val="32"/>
              </w:rPr>
              <w:t>00*300 0.8</w:t>
            </w:r>
            <w:r>
              <w:rPr>
                <w:rFonts w:hint="eastAsia"/>
                <w:sz w:val="28"/>
                <w:szCs w:val="32"/>
              </w:rPr>
              <w:t>mm厚含龙骨</w:t>
            </w:r>
          </w:p>
        </w:tc>
        <w:tc>
          <w:tcPr>
            <w:tcW w:w="1217" w:type="dxa"/>
            <w:vAlign w:val="center"/>
          </w:tcPr>
          <w:p>
            <w:pPr>
              <w:spacing w:line="520" w:lineRule="exact"/>
              <w:jc w:val="center"/>
              <w:rPr>
                <w:rFonts w:hint="eastAsia"/>
                <w:sz w:val="28"/>
                <w:szCs w:val="32"/>
              </w:rPr>
            </w:pPr>
            <w:r>
              <w:rPr>
                <w:rFonts w:hint="eastAsia"/>
                <w:sz w:val="28"/>
                <w:szCs w:val="32"/>
              </w:rPr>
              <w:t>平方米</w:t>
            </w:r>
          </w:p>
        </w:tc>
        <w:tc>
          <w:tcPr>
            <w:tcW w:w="1115" w:type="dxa"/>
            <w:vAlign w:val="center"/>
          </w:tcPr>
          <w:p>
            <w:pPr>
              <w:spacing w:line="520" w:lineRule="exact"/>
              <w:jc w:val="center"/>
              <w:rPr>
                <w:rFonts w:hint="eastAsia"/>
                <w:sz w:val="28"/>
                <w:szCs w:val="32"/>
              </w:rPr>
            </w:pPr>
            <w:r>
              <w:rPr>
                <w:rFonts w:hint="eastAsia"/>
                <w:sz w:val="28"/>
                <w:szCs w:val="32"/>
              </w:rPr>
              <w:t>1</w:t>
            </w:r>
            <w:r>
              <w:rPr>
                <w:sz w:val="28"/>
                <w:szCs w:val="32"/>
              </w:rPr>
              <w:t>0.8</w:t>
            </w:r>
          </w:p>
        </w:tc>
        <w:tc>
          <w:tcPr>
            <w:tcW w:w="1843" w:type="dxa"/>
          </w:tcPr>
          <w:p>
            <w:pPr>
              <w:spacing w:line="520" w:lineRule="exact"/>
              <w:jc w:val="center"/>
              <w:rPr>
                <w:rFonts w:hint="eastAsia"/>
                <w:sz w:val="28"/>
                <w:szCs w:val="32"/>
              </w:rPr>
            </w:pPr>
          </w:p>
        </w:tc>
      </w:tr>
    </w:tbl>
    <w:p>
      <w:pPr>
        <w:pStyle w:val="5"/>
        <w:snapToGrid w:val="0"/>
        <w:spacing w:before="120" w:after="120" w:line="440" w:lineRule="exact"/>
        <w:rPr>
          <w:rFonts w:hAnsi="宋体"/>
          <w:b/>
          <w:bCs/>
          <w:sz w:val="22"/>
          <w:szCs w:val="22"/>
        </w:rPr>
      </w:pPr>
      <w:r>
        <w:rPr>
          <w:rFonts w:hint="eastAsia" w:hAnsi="宋体"/>
          <w:b/>
          <w:bCs/>
          <w:sz w:val="24"/>
          <w:szCs w:val="24"/>
        </w:rPr>
        <w:t>重要说明:</w:t>
      </w:r>
    </w:p>
    <w:p>
      <w:pPr>
        <w:pStyle w:val="5"/>
        <w:snapToGrid w:val="0"/>
        <w:spacing w:before="120" w:after="120" w:line="440" w:lineRule="exact"/>
        <w:ind w:firstLine="442" w:firstLineChars="200"/>
        <w:rPr>
          <w:rFonts w:hAnsi="宋体"/>
          <w:b/>
          <w:bCs/>
          <w:sz w:val="22"/>
          <w:szCs w:val="22"/>
        </w:rPr>
      </w:pPr>
      <w:r>
        <w:rPr>
          <w:rFonts w:hint="eastAsia" w:hAnsi="宋体"/>
          <w:b/>
          <w:bCs/>
          <w:sz w:val="22"/>
          <w:szCs w:val="22"/>
        </w:rPr>
        <w:t>采购标的需满足的服务标准、期限、效率等要求， 另注以上内容均含所有材料及劳务，大小便不锈钢水槽及水箱损坏自行赔偿。</w:t>
      </w:r>
    </w:p>
    <w:p>
      <w:pP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rPr>
        <w:t>南通大学附属实验小学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南通大学附属实验小学维修项目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rPr>
        <w:t>4年  月   日</w:t>
      </w:r>
      <w:r>
        <w:rPr>
          <w:rFonts w:hint="eastAsia" w:ascii="宋体" w:hAnsi="宋体" w:eastAsia="宋体" w:cs="宋体"/>
          <w:sz w:val="24"/>
          <w:szCs w:val="24"/>
        </w:rPr>
        <w:t>；竣工日期：</w:t>
      </w:r>
      <w:r>
        <w:rPr>
          <w:rFonts w:hint="eastAsia" w:ascii="宋体" w:hAnsi="宋体" w:eastAsia="宋体" w:cs="宋体"/>
          <w:sz w:val="24"/>
          <w:szCs w:val="24"/>
          <w:u w:val="single"/>
        </w:rPr>
        <w:t>2024年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rPr>
        <w:t>南通大学附属实验小学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ascii="宋体" w:hAnsi="宋体" w:eastAsia="宋体" w:cs="新宋体"/>
          <w:sz w:val="24"/>
          <w:szCs w:val="24"/>
        </w:rPr>
        <w:t>100</w:t>
      </w:r>
      <w:r>
        <w:rPr>
          <w:rFonts w:hint="eastAsia" w:ascii="宋体" w:hAnsi="宋体" w:eastAsia="宋体" w:cs="新宋体"/>
          <w:sz w:val="24"/>
          <w:szCs w:val="24"/>
        </w:rPr>
        <w:t>%的合同价款</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壹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lang w:val="en-US" w:eastAsia="zh-CN"/>
        </w:rPr>
        <w:t>2</w:t>
      </w:r>
      <w:r>
        <w:rPr>
          <w:rFonts w:hint="eastAsia" w:cs="Times New Roman"/>
          <w:b/>
          <w:bCs/>
          <w:kern w:val="2"/>
        </w:rPr>
        <w:t>‰</w:t>
      </w:r>
      <w:r>
        <w:rPr>
          <w:rFonts w:hint="eastAsia" w:ascii="宋体" w:hAnsi="宋体" w:eastAsia="宋体" w:cs="宋体"/>
          <w:sz w:val="24"/>
          <w:szCs w:val="24"/>
        </w:rPr>
        <w:t>的标准计算，如甲方造</w:t>
      </w:r>
      <w:bookmarkStart w:id="2" w:name="_GoBack"/>
      <w:bookmarkEnd w:id="2"/>
      <w:r>
        <w:rPr>
          <w:rFonts w:hint="eastAsia" w:ascii="宋体" w:hAnsi="宋体" w:eastAsia="宋体" w:cs="宋体"/>
          <w:sz w:val="24"/>
          <w:szCs w:val="24"/>
        </w:rPr>
        <w:t>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3"/>
              <w:adjustRightInd w:val="0"/>
              <w:snapToGrid w:val="0"/>
              <w:spacing w:line="300" w:lineRule="auto"/>
              <w:rPr>
                <w:rFonts w:ascii="宋体" w:hAnsi="宋体" w:eastAsia="宋体" w:cs="宋体"/>
                <w:kern w:val="2"/>
                <w:sz w:val="24"/>
                <w:szCs w:val="24"/>
              </w:rPr>
            </w:pP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2024年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ascii="宋体" w:hAnsi="宋体" w:eastAsia="宋体"/>
          <w:b/>
          <w:sz w:val="32"/>
          <w:szCs w:val="32"/>
        </w:rPr>
      </w:pPr>
      <w:r>
        <w:rPr>
          <w:rFonts w:ascii="宋体" w:hAnsi="宋体" w:eastAsia="宋体"/>
        </w:rPr>
        <w:br w:type="page"/>
      </w:r>
      <w:r>
        <w:rPr>
          <w:rFonts w:hint="eastAsia" w:ascii="宋体" w:hAnsi="宋体" w:eastAsia="宋体"/>
          <w:b/>
          <w:w w:val="90"/>
          <w:sz w:val="32"/>
          <w:szCs w:val="32"/>
        </w:rPr>
        <w:t>6、投标人符合《政府采购法》第二十二条规定条件的声明函</w:t>
      </w:r>
    </w:p>
    <w:p>
      <w:pPr>
        <w:spacing w:line="460" w:lineRule="exact"/>
        <w:rPr>
          <w:rFonts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                                         日期：</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南通大学附属实验小学厕所改造项目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jc w:val="center"/>
      <w:rPr>
        <w:rFonts w:ascii="仿宋_GB2312" w:hAnsi="Calibri" w:eastAsia="仿宋_GB2312"/>
        <w:sz w:val="18"/>
        <w:szCs w:val="18"/>
      </w:rPr>
    </w:pPr>
    <w:r>
      <w:rPr>
        <w:rFonts w:hint="eastAsia" w:ascii="仿宋_GB2312" w:hAnsi="Calibri" w:eastAsia="仿宋_GB2312"/>
        <w:sz w:val="18"/>
        <w:szCs w:val="18"/>
      </w:rPr>
      <w:t>南通大学附属实验小学厕所改造项目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Mzk0ZTNlMWE5MDQ5YzBiMjFiMTkxYjliOGIxNGYifQ=="/>
  </w:docVars>
  <w:rsids>
    <w:rsidRoot w:val="00C17F3E"/>
    <w:rsid w:val="000034A1"/>
    <w:rsid w:val="00021B17"/>
    <w:rsid w:val="00080ED2"/>
    <w:rsid w:val="000B6A00"/>
    <w:rsid w:val="001F2651"/>
    <w:rsid w:val="00234B9E"/>
    <w:rsid w:val="00266B9E"/>
    <w:rsid w:val="00273289"/>
    <w:rsid w:val="00296F98"/>
    <w:rsid w:val="002D5774"/>
    <w:rsid w:val="002F4489"/>
    <w:rsid w:val="003330DB"/>
    <w:rsid w:val="00340446"/>
    <w:rsid w:val="004374FE"/>
    <w:rsid w:val="00440158"/>
    <w:rsid w:val="004468A7"/>
    <w:rsid w:val="004D4C8D"/>
    <w:rsid w:val="00596103"/>
    <w:rsid w:val="005C1BE5"/>
    <w:rsid w:val="006100CD"/>
    <w:rsid w:val="006400BF"/>
    <w:rsid w:val="006B6611"/>
    <w:rsid w:val="007062B9"/>
    <w:rsid w:val="008054D9"/>
    <w:rsid w:val="008352D2"/>
    <w:rsid w:val="00925F9A"/>
    <w:rsid w:val="009742FE"/>
    <w:rsid w:val="009D4016"/>
    <w:rsid w:val="009F7F19"/>
    <w:rsid w:val="00A432E3"/>
    <w:rsid w:val="00A50C39"/>
    <w:rsid w:val="00B44366"/>
    <w:rsid w:val="00B95E56"/>
    <w:rsid w:val="00B97A60"/>
    <w:rsid w:val="00C17F3E"/>
    <w:rsid w:val="00C90FD9"/>
    <w:rsid w:val="00CE3550"/>
    <w:rsid w:val="00DA0475"/>
    <w:rsid w:val="00DA13F5"/>
    <w:rsid w:val="00DE04D8"/>
    <w:rsid w:val="00E85F3D"/>
    <w:rsid w:val="00EC0A30"/>
    <w:rsid w:val="00F325C0"/>
    <w:rsid w:val="00FA107D"/>
    <w:rsid w:val="00FA6154"/>
    <w:rsid w:val="00FB373B"/>
    <w:rsid w:val="01F504D8"/>
    <w:rsid w:val="028B0641"/>
    <w:rsid w:val="04044909"/>
    <w:rsid w:val="04293D1D"/>
    <w:rsid w:val="0430271B"/>
    <w:rsid w:val="04621485"/>
    <w:rsid w:val="047A657B"/>
    <w:rsid w:val="05892AE5"/>
    <w:rsid w:val="05DE0F09"/>
    <w:rsid w:val="065F7FE8"/>
    <w:rsid w:val="06D83757"/>
    <w:rsid w:val="08144141"/>
    <w:rsid w:val="082D4C8B"/>
    <w:rsid w:val="0AC67231"/>
    <w:rsid w:val="0BA53987"/>
    <w:rsid w:val="0CEB6D41"/>
    <w:rsid w:val="0D4A1C50"/>
    <w:rsid w:val="0E195485"/>
    <w:rsid w:val="0E1B4E92"/>
    <w:rsid w:val="0EED74D6"/>
    <w:rsid w:val="0F2952B4"/>
    <w:rsid w:val="101A7331"/>
    <w:rsid w:val="103F3720"/>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A625000"/>
    <w:rsid w:val="2B227577"/>
    <w:rsid w:val="2D604645"/>
    <w:rsid w:val="2DBC4036"/>
    <w:rsid w:val="2EDF69A7"/>
    <w:rsid w:val="322B13C4"/>
    <w:rsid w:val="32524BFD"/>
    <w:rsid w:val="325564F4"/>
    <w:rsid w:val="32941625"/>
    <w:rsid w:val="32EB18A1"/>
    <w:rsid w:val="33C5616B"/>
    <w:rsid w:val="34713E2B"/>
    <w:rsid w:val="3566165A"/>
    <w:rsid w:val="366C5346"/>
    <w:rsid w:val="37F05A73"/>
    <w:rsid w:val="397B7834"/>
    <w:rsid w:val="3AEE3A92"/>
    <w:rsid w:val="3DA6550E"/>
    <w:rsid w:val="402E5098"/>
    <w:rsid w:val="403E55C3"/>
    <w:rsid w:val="40AD0506"/>
    <w:rsid w:val="417E5498"/>
    <w:rsid w:val="42204EB5"/>
    <w:rsid w:val="42DA39A5"/>
    <w:rsid w:val="42F950A7"/>
    <w:rsid w:val="447B1D0E"/>
    <w:rsid w:val="44BD69EB"/>
    <w:rsid w:val="46106D55"/>
    <w:rsid w:val="47811F51"/>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4FEF697B"/>
    <w:rsid w:val="51272AE4"/>
    <w:rsid w:val="51454113"/>
    <w:rsid w:val="51E66335"/>
    <w:rsid w:val="52C942F5"/>
    <w:rsid w:val="52D468DD"/>
    <w:rsid w:val="531C7ADA"/>
    <w:rsid w:val="532C0BCB"/>
    <w:rsid w:val="53430FF2"/>
    <w:rsid w:val="53B660D6"/>
    <w:rsid w:val="53FA71B7"/>
    <w:rsid w:val="54392249"/>
    <w:rsid w:val="547D7D04"/>
    <w:rsid w:val="54BA6B11"/>
    <w:rsid w:val="54EA4E2E"/>
    <w:rsid w:val="56A31EE4"/>
    <w:rsid w:val="56CB7E6B"/>
    <w:rsid w:val="56F905DC"/>
    <w:rsid w:val="581205EB"/>
    <w:rsid w:val="584329D8"/>
    <w:rsid w:val="59576BBE"/>
    <w:rsid w:val="59FF74EB"/>
    <w:rsid w:val="5AD073AA"/>
    <w:rsid w:val="5BB85612"/>
    <w:rsid w:val="5C6E7252"/>
    <w:rsid w:val="5CF02C41"/>
    <w:rsid w:val="5D7C7E6A"/>
    <w:rsid w:val="5D852366"/>
    <w:rsid w:val="5D8A7299"/>
    <w:rsid w:val="5DC34697"/>
    <w:rsid w:val="5E477B07"/>
    <w:rsid w:val="60292533"/>
    <w:rsid w:val="609F1484"/>
    <w:rsid w:val="60B02453"/>
    <w:rsid w:val="611C74B1"/>
    <w:rsid w:val="61982C6F"/>
    <w:rsid w:val="62BD5634"/>
    <w:rsid w:val="62E1096C"/>
    <w:rsid w:val="63A54E09"/>
    <w:rsid w:val="650D2C1F"/>
    <w:rsid w:val="659F79E0"/>
    <w:rsid w:val="67FB4D21"/>
    <w:rsid w:val="68302B27"/>
    <w:rsid w:val="687C7AB9"/>
    <w:rsid w:val="68D41851"/>
    <w:rsid w:val="68F16528"/>
    <w:rsid w:val="69AA10F4"/>
    <w:rsid w:val="6A4D4FA4"/>
    <w:rsid w:val="6A765B22"/>
    <w:rsid w:val="6AFB1E97"/>
    <w:rsid w:val="6D306395"/>
    <w:rsid w:val="6D5B678F"/>
    <w:rsid w:val="6EEE5BAF"/>
    <w:rsid w:val="708116AD"/>
    <w:rsid w:val="70BF50A1"/>
    <w:rsid w:val="722E2A61"/>
    <w:rsid w:val="735F0AE9"/>
    <w:rsid w:val="73A8634F"/>
    <w:rsid w:val="73C31D4B"/>
    <w:rsid w:val="74570C0A"/>
    <w:rsid w:val="7471559C"/>
    <w:rsid w:val="75D71F9F"/>
    <w:rsid w:val="75F16C5A"/>
    <w:rsid w:val="76B26CEA"/>
    <w:rsid w:val="76B66FE0"/>
    <w:rsid w:val="774E15A1"/>
    <w:rsid w:val="77F753B8"/>
    <w:rsid w:val="78EB1DDC"/>
    <w:rsid w:val="79224089"/>
    <w:rsid w:val="7990698B"/>
    <w:rsid w:val="799A5D1A"/>
    <w:rsid w:val="79A82155"/>
    <w:rsid w:val="79AE1A6A"/>
    <w:rsid w:val="79BF1990"/>
    <w:rsid w:val="7A1234BA"/>
    <w:rsid w:val="7A910442"/>
    <w:rsid w:val="7B644EEB"/>
    <w:rsid w:val="7B893E15"/>
    <w:rsid w:val="7C876E5C"/>
    <w:rsid w:val="7C90674F"/>
    <w:rsid w:val="7CD26F93"/>
    <w:rsid w:val="7D44533D"/>
    <w:rsid w:val="7D490930"/>
    <w:rsid w:val="7D560857"/>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autoRedefine/>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字符"/>
    <w:basedOn w:val="12"/>
    <w:link w:val="4"/>
    <w:qFormat/>
    <w:uiPriority w:val="0"/>
    <w:rPr>
      <w:rFonts w:ascii="仿宋_GB2312" w:hAnsi="Calibri" w:eastAsia="仿宋_GB2312" w:cs="Times New Roman"/>
    </w:rPr>
  </w:style>
  <w:style w:type="character" w:customStyle="1" w:styleId="15">
    <w:name w:val="正文文本 字符"/>
    <w:basedOn w:val="12"/>
    <w:link w:val="3"/>
    <w:qFormat/>
    <w:uiPriority w:val="0"/>
    <w:rPr>
      <w:rFonts w:ascii="楷体_GB2312" w:hAnsi="Arial" w:eastAsia="楷体_GB2312" w:cs="Times New Roman"/>
      <w:kern w:val="0"/>
      <w:sz w:val="28"/>
      <w:szCs w:val="20"/>
    </w:rPr>
  </w:style>
  <w:style w:type="character" w:customStyle="1" w:styleId="16">
    <w:name w:val="日期 字符"/>
    <w:basedOn w:val="12"/>
    <w:link w:val="6"/>
    <w:qFormat/>
    <w:uiPriority w:val="0"/>
    <w:rPr>
      <w:rFonts w:ascii="Times New Roman" w:hAnsi="Times New Roman" w:eastAsia="宋体" w:cs="Times New Roman"/>
      <w:kern w:val="0"/>
      <w:sz w:val="24"/>
      <w:szCs w:val="20"/>
    </w:rPr>
  </w:style>
  <w:style w:type="character" w:customStyle="1" w:styleId="17">
    <w:name w:val="页脚 字符"/>
    <w:basedOn w:val="12"/>
    <w:link w:val="7"/>
    <w:autoRedefine/>
    <w:qFormat/>
    <w:uiPriority w:val="0"/>
    <w:rPr>
      <w:rFonts w:ascii="仿宋_GB2312" w:hAnsi="Calibri" w:eastAsia="仿宋_GB2312" w:cs="Times New Roman"/>
      <w:kern w:val="0"/>
      <w:sz w:val="18"/>
      <w:szCs w:val="18"/>
    </w:rPr>
  </w:style>
  <w:style w:type="character" w:customStyle="1" w:styleId="18">
    <w:name w:val="页眉 字符"/>
    <w:basedOn w:val="12"/>
    <w:link w:val="8"/>
    <w:qFormat/>
    <w:uiPriority w:val="0"/>
    <w:rPr>
      <w:rFonts w:ascii="仿宋_GB2312" w:hAnsi="Calibri" w:eastAsia="仿宋_GB2312" w:cs="Times New Roman"/>
      <w:kern w:val="0"/>
      <w:sz w:val="18"/>
      <w:szCs w:val="18"/>
    </w:rPr>
  </w:style>
  <w:style w:type="paragraph" w:customStyle="1" w:styleId="19">
    <w:name w:val="普通正文"/>
    <w:basedOn w:val="1"/>
    <w:autoRedefine/>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autoRedefine/>
    <w:qFormat/>
    <w:uiPriority w:val="0"/>
    <w:pPr>
      <w:spacing w:line="360" w:lineRule="auto"/>
      <w:ind w:firstLine="480"/>
    </w:pPr>
    <w:rPr>
      <w:rFonts w:ascii="Calibri"/>
      <w:b/>
      <w:sz w:val="24"/>
      <w:szCs w:val="24"/>
    </w:rPr>
  </w:style>
  <w:style w:type="paragraph" w:customStyle="1" w:styleId="22">
    <w:name w:val="p0"/>
    <w:basedOn w:val="1"/>
    <w:autoRedefine/>
    <w:qFormat/>
    <w:uiPriority w:val="0"/>
    <w:pPr>
      <w:widowControl/>
    </w:pPr>
    <w:rPr>
      <w:rFonts w:ascii="Times New Roman" w:hAnsi="Times New Roman" w:eastAsia="宋体"/>
      <w:color w:val="000000"/>
      <w:kern w:val="0"/>
      <w:szCs w:val="21"/>
    </w:rPr>
  </w:style>
  <w:style w:type="paragraph" w:customStyle="1" w:styleId="23">
    <w:name w:val="msolistparagraph"/>
    <w:basedOn w:val="1"/>
    <w:autoRedefine/>
    <w:qFormat/>
    <w:uiPriority w:val="0"/>
    <w:pPr>
      <w:ind w:firstLine="420" w:firstLineChars="200"/>
    </w:pPr>
    <w:rPr>
      <w:rFonts w:ascii="Calibri" w:eastAsia="宋体"/>
    </w:rPr>
  </w:style>
  <w:style w:type="character" w:customStyle="1" w:styleId="24">
    <w:name w:val="纯文本 字符"/>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autoRedefine/>
    <w:qFormat/>
    <w:uiPriority w:val="0"/>
    <w:rPr>
      <w:rFonts w:hint="eastAsia" w:ascii="宋体" w:hAnsi="宋体" w:eastAsia="宋体" w:cs="宋体"/>
      <w:color w:val="FF0000"/>
      <w:sz w:val="20"/>
      <w:szCs w:val="20"/>
      <w:u w:val="none"/>
    </w:rPr>
  </w:style>
  <w:style w:type="character" w:customStyle="1" w:styleId="29">
    <w:name w:val="font21"/>
    <w:basedOn w:val="12"/>
    <w:autoRedefine/>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805</Words>
  <Characters>4595</Characters>
  <Lines>38</Lines>
  <Paragraphs>10</Paragraphs>
  <TotalTime>3</TotalTime>
  <ScaleCrop>false</ScaleCrop>
  <LinksUpToDate>false</LinksUpToDate>
  <CharactersWithSpaces>5390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2024-09-25T06:30:00Z</dcterms:created>
  <dc:creator>user</dc:creator>
  <cp:lastModifiedBy>user</cp:lastModifiedBy>
  <dcterms:modified xsi:type="dcterms:W3CDTF">2024-09-25T06:35:32Z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73E4713CE346419AA80556961F48FDC4_13</vt:lpwstr>
  </property>
</Properties>
</file>