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4"/>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52"/>
          <w:szCs w:val="52"/>
        </w:rPr>
      </w:pPr>
      <w:r>
        <w:rPr>
          <w:rFonts w:hint="eastAsia" w:ascii="宋体" w:hAnsi="宋体"/>
          <w:b/>
          <w:bCs/>
          <w:sz w:val="52"/>
          <w:szCs w:val="52"/>
          <w:lang w:eastAsia="zh-CN"/>
        </w:rPr>
        <w:t>南通开发区星湖小学高压配电间</w:t>
      </w:r>
      <w:r>
        <w:rPr>
          <w:rFonts w:hint="eastAsia" w:ascii="宋体" w:hAnsi="宋体"/>
          <w:b/>
          <w:bCs/>
          <w:sz w:val="52"/>
          <w:szCs w:val="52"/>
          <w:lang w:val="en-US" w:eastAsia="zh-CN"/>
        </w:rPr>
        <w:t>维修</w:t>
      </w:r>
      <w:r>
        <w:rPr>
          <w:rFonts w:hint="eastAsia" w:ascii="宋体" w:hAnsi="宋体"/>
          <w:b/>
          <w:bCs/>
          <w:sz w:val="52"/>
          <w:szCs w:val="52"/>
          <w:lang w:eastAsia="zh-CN"/>
        </w:rPr>
        <w:t>项目</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4</w:t>
      </w:r>
      <w:r>
        <w:rPr>
          <w:rFonts w:hint="eastAsia" w:ascii="宋体" w:hAnsi="宋体"/>
          <w:b/>
          <w:bCs/>
          <w:sz w:val="32"/>
          <w:szCs w:val="24"/>
        </w:rPr>
        <w:t>年</w:t>
      </w:r>
      <w:r>
        <w:rPr>
          <w:rFonts w:hint="eastAsia" w:ascii="宋体" w:hAnsi="宋体"/>
          <w:b/>
          <w:bCs/>
          <w:sz w:val="32"/>
          <w:szCs w:val="24"/>
          <w:lang w:val="en-US" w:eastAsia="zh-CN"/>
        </w:rPr>
        <w:t>9</w:t>
      </w:r>
      <w:r>
        <w:rPr>
          <w:rFonts w:hint="eastAsia" w:ascii="宋体" w:hAnsi="宋体"/>
          <w:b/>
          <w:bCs/>
          <w:sz w:val="32"/>
          <w:szCs w:val="24"/>
        </w:rPr>
        <w:t>月</w:t>
      </w:r>
      <w:r>
        <w:rPr>
          <w:rFonts w:hint="eastAsia" w:ascii="宋体" w:hAnsi="宋体"/>
          <w:b/>
          <w:bCs/>
          <w:sz w:val="32"/>
          <w:szCs w:val="24"/>
          <w:lang w:val="en-US" w:eastAsia="zh-CN"/>
        </w:rPr>
        <w:t>24</w:t>
      </w:r>
      <w:bookmarkStart w:id="2" w:name="_GoBack"/>
      <w:bookmarkEnd w:id="2"/>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南通开发区星湖小学高压配电间</w:t>
      </w:r>
      <w:r>
        <w:rPr>
          <w:rFonts w:hint="eastAsia" w:ascii="宋体" w:hAnsi="宋体" w:eastAsia="宋体" w:cs="宋体"/>
          <w:b/>
          <w:kern w:val="0"/>
          <w:sz w:val="32"/>
          <w:szCs w:val="32"/>
          <w:lang w:val="en-US" w:eastAsia="zh-CN"/>
        </w:rPr>
        <w:t>维修</w:t>
      </w:r>
      <w:r>
        <w:rPr>
          <w:rFonts w:hint="eastAsia" w:ascii="宋体" w:hAnsi="宋体" w:eastAsia="宋体" w:cs="宋体"/>
          <w:b/>
          <w:kern w:val="0"/>
          <w:sz w:val="32"/>
          <w:szCs w:val="32"/>
          <w:lang w:eastAsia="zh-CN"/>
        </w:rPr>
        <w:t>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星湖小学高压配电间</w:t>
      </w:r>
      <w:r>
        <w:rPr>
          <w:rFonts w:hint="eastAsia" w:ascii="宋体" w:hAnsi="宋体" w:eastAsia="宋体"/>
          <w:b/>
          <w:bCs/>
          <w:sz w:val="24"/>
          <w:szCs w:val="24"/>
          <w:u w:val="single"/>
          <w:lang w:val="en-US" w:eastAsia="zh-CN"/>
        </w:rPr>
        <w:t>维修</w:t>
      </w:r>
      <w:r>
        <w:rPr>
          <w:rFonts w:hint="eastAsia" w:ascii="宋体" w:hAnsi="宋体" w:eastAsia="宋体"/>
          <w:b/>
          <w:bCs/>
          <w:sz w:val="24"/>
          <w:szCs w:val="24"/>
          <w:u w:val="single"/>
          <w:lang w:eastAsia="zh-CN"/>
        </w:rPr>
        <w:t>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http://www.ntkfqjy.com/），下载询价文件，并于202</w:t>
      </w:r>
      <w:r>
        <w:rPr>
          <w:rStyle w:val="13"/>
          <w:rFonts w:hint="eastAsia" w:ascii="宋体" w:hAnsi="宋体" w:eastAsia="宋体"/>
          <w:sz w:val="24"/>
          <w:szCs w:val="24"/>
          <w:highlight w:val="none"/>
          <w:lang w:val="en-US" w:eastAsia="zh-CN"/>
        </w:rPr>
        <w:t>4</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9</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29</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3"/>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星湖小学高压配电间维修项目</w:t>
      </w:r>
      <w:r>
        <w:rPr>
          <w:rFonts w:hint="eastAsia" w:ascii="宋体" w:hAnsi="宋体" w:eastAsia="宋体" w:cs="仿宋"/>
          <w:sz w:val="24"/>
          <w:szCs w:val="24"/>
        </w:rPr>
        <w:t>实施询价采购，欢迎符合条件的供应商参加。</w:t>
      </w:r>
    </w:p>
    <w:p>
      <w:pPr>
        <w:pStyle w:val="3"/>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南通开发区星湖小学高压配电间维修项目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lang w:val="en-US" w:eastAsia="zh-CN"/>
        </w:rPr>
        <w:t>4.9</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4.9</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星湖小学高压配电间维修项目</w:t>
      </w:r>
      <w:r>
        <w:rPr>
          <w:rFonts w:hint="eastAsia" w:ascii="宋体" w:hAnsi="宋体" w:eastAsia="宋体"/>
          <w:sz w:val="24"/>
          <w:szCs w:val="24"/>
        </w:rPr>
        <w:t>及服务，详见询价文件附件。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sz w:val="24"/>
          <w:szCs w:val="24"/>
          <w:lang w:val="en-US" w:eastAsia="zh-CN"/>
        </w:rPr>
        <w:t>维修</w:t>
      </w:r>
      <w:r>
        <w:rPr>
          <w:rFonts w:hint="eastAsia" w:ascii="宋体" w:hAnsi="宋体" w:eastAsia="宋体"/>
          <w:sz w:val="24"/>
          <w:szCs w:val="24"/>
        </w:rPr>
        <w:t>期： 自合同签定之日起</w:t>
      </w:r>
      <w:r>
        <w:rPr>
          <w:rFonts w:hint="eastAsia" w:ascii="宋体" w:hAnsi="宋体" w:eastAsia="宋体"/>
          <w:sz w:val="24"/>
          <w:szCs w:val="24"/>
          <w:lang w:val="en-US" w:eastAsia="zh-CN"/>
        </w:rPr>
        <w:t>10</w:t>
      </w:r>
      <w:r>
        <w:rPr>
          <w:rFonts w:hint="eastAsia" w:ascii="宋体" w:hAnsi="宋体" w:eastAsia="宋体"/>
          <w:sz w:val="24"/>
          <w:szCs w:val="24"/>
        </w:rPr>
        <w:t>天内</w:t>
      </w:r>
      <w:r>
        <w:rPr>
          <w:rFonts w:hint="eastAsia" w:ascii="宋体" w:hAnsi="宋体" w:eastAsia="宋体"/>
          <w:sz w:val="24"/>
          <w:szCs w:val="24"/>
          <w:lang w:eastAsia="zh-CN"/>
        </w:rPr>
        <w:t>。</w:t>
      </w:r>
      <w:r>
        <w:rPr>
          <w:rFonts w:hint="eastAsia"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w:t>
      </w:r>
      <w:r>
        <w:rPr>
          <w:rFonts w:hint="eastAsia" w:cs="Times New Roman"/>
          <w:shd w:val="clear" w:color="auto" w:fill="FFFFFF"/>
          <w:lang w:val="en-US" w:eastAsia="zh-CN"/>
        </w:rPr>
        <w:t>需提交</w:t>
      </w:r>
      <w:r>
        <w:rPr>
          <w:rFonts w:hint="eastAsia" w:cs="Times New Roman"/>
          <w:shd w:val="clear" w:color="auto" w:fill="FFFFFF"/>
        </w:rPr>
        <w:t>符合《政府采购法》第二十二条规定条件的声明函</w:t>
      </w:r>
      <w:r>
        <w:rPr>
          <w:rFonts w:cs="Times New Roman"/>
          <w:shd w:val="clear" w:color="auto" w:fill="FFFFFF"/>
        </w:rPr>
        <w:t>（须加盖公章），格式见附件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4</w:t>
      </w:r>
      <w:r>
        <w:rPr>
          <w:rFonts w:hint="eastAsia"/>
          <w:b/>
          <w:highlight w:val="none"/>
          <w:shd w:val="clear" w:color="auto" w:fill="FFFFFF"/>
        </w:rPr>
        <w:t>年</w:t>
      </w:r>
      <w:r>
        <w:rPr>
          <w:rFonts w:hint="eastAsia"/>
          <w:b/>
          <w:highlight w:val="none"/>
          <w:u w:val="single"/>
          <w:shd w:val="clear" w:color="auto" w:fill="FFFFFF"/>
          <w:lang w:val="en-US" w:eastAsia="zh-CN"/>
        </w:rPr>
        <w:t>9</w:t>
      </w:r>
      <w:r>
        <w:rPr>
          <w:rFonts w:hint="eastAsia"/>
          <w:b/>
          <w:highlight w:val="none"/>
          <w:shd w:val="clear" w:color="auto" w:fill="FFFFFF"/>
        </w:rPr>
        <w:t>月</w:t>
      </w:r>
      <w:r>
        <w:rPr>
          <w:rFonts w:hint="eastAsia"/>
          <w:b/>
          <w:color w:val="auto"/>
          <w:highlight w:val="none"/>
          <w:u w:val="single"/>
          <w:shd w:val="clear" w:color="auto" w:fill="FFFFFF"/>
          <w:lang w:val="en-US" w:eastAsia="zh-CN"/>
        </w:rPr>
        <w:t>29日9点00分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default"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rPr>
        <w:t>南通经济技术开发区星湖小学林翠路39号</w:t>
      </w:r>
      <w:r>
        <w:rPr>
          <w:rFonts w:hint="eastAsia" w:cs="Times New Roman"/>
          <w:shd w:val="clear" w:color="auto" w:fill="FFFFFF"/>
          <w:lang w:val="en-US" w:eastAsia="zh-CN"/>
        </w:rPr>
        <w:t>党支部活动室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4</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9</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29日9点00分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徐</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13962741259</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eastAsia="宋体"/>
          <w:lang w:eastAsia="zh-CN"/>
        </w:rPr>
      </w:pPr>
      <w:r>
        <w:rPr>
          <w:rFonts w:hint="eastAsia"/>
          <w:lang w:eastAsia="zh-CN"/>
        </w:rPr>
        <w:t>南通开发区星湖小学</w:t>
      </w:r>
    </w:p>
    <w:p>
      <w:pPr>
        <w:pStyle w:val="19"/>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4</w:t>
      </w:r>
      <w:r>
        <w:rPr>
          <w:rFonts w:hint="eastAsia" w:ascii="宋体" w:hAnsi="宋体"/>
          <w:b/>
          <w:kern w:val="2"/>
        </w:rPr>
        <w:t>年</w:t>
      </w:r>
      <w:r>
        <w:rPr>
          <w:rFonts w:hint="eastAsia" w:ascii="宋体" w:hAnsi="宋体"/>
          <w:b/>
          <w:kern w:val="2"/>
          <w:lang w:val="en-US" w:eastAsia="zh-CN"/>
        </w:rPr>
        <w:t>9</w:t>
      </w:r>
      <w:r>
        <w:rPr>
          <w:rFonts w:hint="eastAsia" w:ascii="宋体" w:hAnsi="宋体"/>
          <w:b/>
          <w:kern w:val="2"/>
        </w:rPr>
        <w:t>月</w:t>
      </w:r>
      <w:r>
        <w:rPr>
          <w:rFonts w:hint="eastAsia" w:ascii="宋体" w:hAnsi="宋体"/>
          <w:b/>
          <w:kern w:val="2"/>
          <w:lang w:val="en-US" w:eastAsia="zh-CN"/>
        </w:rPr>
        <w:t>24</w:t>
      </w:r>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numPr>
          <w:ilvl w:val="0"/>
          <w:numId w:val="0"/>
        </w:numPr>
        <w:rPr>
          <w:rFonts w:hint="eastAsia" w:ascii="黑体" w:hAnsi="黑体" w:eastAsia="黑体" w:cs="黑体"/>
          <w:b/>
          <w:bCs/>
          <w:lang w:val="en-US" w:eastAsia="zh-CN"/>
        </w:rPr>
      </w:pPr>
      <w:bookmarkStart w:id="1" w:name="_Toc482279881"/>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1694"/>
        <w:gridCol w:w="2539"/>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序号</w:t>
            </w:r>
          </w:p>
        </w:tc>
        <w:tc>
          <w:tcPr>
            <w:tcW w:w="1694" w:type="dxa"/>
          </w:tcPr>
          <w:p>
            <w:pPr>
              <w:numPr>
                <w:ilvl w:val="0"/>
                <w:numId w:val="0"/>
              </w:numPr>
              <w:jc w:val="center"/>
              <w:rPr>
                <w:rFonts w:hint="default"/>
                <w:sz w:val="28"/>
                <w:szCs w:val="32"/>
                <w:vertAlign w:val="baseline"/>
                <w:lang w:val="en-US" w:eastAsia="zh-CN"/>
              </w:rPr>
            </w:pPr>
            <w:r>
              <w:rPr>
                <w:rFonts w:hint="default"/>
                <w:sz w:val="28"/>
                <w:szCs w:val="32"/>
                <w:vertAlign w:val="baseline"/>
                <w:lang w:val="en-US" w:eastAsia="zh-CN"/>
              </w:rPr>
              <w:t>工作内容</w:t>
            </w:r>
          </w:p>
        </w:tc>
        <w:tc>
          <w:tcPr>
            <w:tcW w:w="2539" w:type="dxa"/>
          </w:tcPr>
          <w:p>
            <w:pPr>
              <w:numPr>
                <w:ilvl w:val="0"/>
                <w:numId w:val="0"/>
              </w:numPr>
              <w:jc w:val="center"/>
              <w:rPr>
                <w:rFonts w:hint="default"/>
                <w:sz w:val="28"/>
                <w:szCs w:val="32"/>
                <w:vertAlign w:val="baseline"/>
                <w:lang w:val="en-US" w:eastAsia="zh-CN"/>
              </w:rPr>
            </w:pPr>
            <w:r>
              <w:rPr>
                <w:rFonts w:hint="default"/>
                <w:sz w:val="28"/>
                <w:szCs w:val="32"/>
                <w:vertAlign w:val="baseline"/>
                <w:lang w:val="en-US" w:eastAsia="zh-CN"/>
              </w:rPr>
              <w:t>规格型号</w:t>
            </w:r>
          </w:p>
        </w:tc>
        <w:tc>
          <w:tcPr>
            <w:tcW w:w="1705" w:type="dxa"/>
          </w:tcPr>
          <w:p>
            <w:pPr>
              <w:numPr>
                <w:ilvl w:val="0"/>
                <w:numId w:val="0"/>
              </w:numPr>
              <w:jc w:val="center"/>
              <w:rPr>
                <w:rFonts w:hint="default"/>
                <w:sz w:val="28"/>
                <w:szCs w:val="32"/>
                <w:vertAlign w:val="baseline"/>
                <w:lang w:val="en-US" w:eastAsia="zh-CN"/>
              </w:rPr>
            </w:pPr>
            <w:r>
              <w:rPr>
                <w:rFonts w:hint="default"/>
                <w:sz w:val="28"/>
                <w:szCs w:val="32"/>
                <w:vertAlign w:val="baseline"/>
                <w:lang w:val="en-US" w:eastAsia="zh-CN"/>
              </w:rPr>
              <w:t>单位</w:t>
            </w:r>
          </w:p>
        </w:tc>
        <w:tc>
          <w:tcPr>
            <w:tcW w:w="1705" w:type="dxa"/>
          </w:tcPr>
          <w:p>
            <w:pPr>
              <w:numPr>
                <w:ilvl w:val="0"/>
                <w:numId w:val="0"/>
              </w:numPr>
              <w:jc w:val="center"/>
              <w:rPr>
                <w:rFonts w:hint="default"/>
                <w:sz w:val="28"/>
                <w:szCs w:val="32"/>
                <w:vertAlign w:val="baseline"/>
                <w:lang w:val="en-US" w:eastAsia="zh-CN"/>
              </w:rPr>
            </w:pPr>
            <w:r>
              <w:rPr>
                <w:rFonts w:hint="default"/>
                <w:sz w:val="28"/>
                <w:szCs w:val="32"/>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83" w:type="dxa"/>
            <w:shd w:val="clear" w:color="auto" w:fill="auto"/>
            <w:vAlign w:val="center"/>
          </w:tcPr>
          <w:p>
            <w:pPr>
              <w:numPr>
                <w:ilvl w:val="0"/>
                <w:numId w:val="0"/>
              </w:numPr>
              <w:ind w:left="0" w:leftChars="0" w:firstLine="0" w:firstLineChars="0"/>
              <w:jc w:val="center"/>
              <w:rPr>
                <w:rFonts w:hint="default" w:ascii="仿宋_GB2312" w:hAnsi="Calibri" w:eastAsia="仿宋_GB2312" w:cs="Times New Roman"/>
                <w:kern w:val="2"/>
                <w:sz w:val="28"/>
                <w:szCs w:val="32"/>
                <w:vertAlign w:val="baseline"/>
                <w:lang w:val="en-US" w:eastAsia="zh-CN" w:bidi="ar-SA"/>
              </w:rPr>
            </w:pPr>
            <w:r>
              <w:rPr>
                <w:rFonts w:hint="eastAsia" w:cs="Times New Roman"/>
                <w:kern w:val="2"/>
                <w:sz w:val="28"/>
                <w:szCs w:val="32"/>
                <w:vertAlign w:val="baseline"/>
                <w:lang w:val="en-US" w:eastAsia="zh-CN" w:bidi="ar-SA"/>
              </w:rPr>
              <w:t>1</w:t>
            </w:r>
          </w:p>
        </w:tc>
        <w:tc>
          <w:tcPr>
            <w:tcW w:w="1694" w:type="dxa"/>
            <w:shd w:val="clear" w:color="auto" w:fill="auto"/>
            <w:vAlign w:val="center"/>
          </w:tcPr>
          <w:p>
            <w:pPr>
              <w:numPr>
                <w:ilvl w:val="0"/>
                <w:numId w:val="0"/>
              </w:numPr>
              <w:ind w:left="0" w:leftChars="0" w:firstLine="0" w:firstLineChars="0"/>
              <w:jc w:val="center"/>
              <w:rPr>
                <w:rFonts w:hint="default" w:ascii="仿宋_GB2312" w:hAnsi="Calibri" w:eastAsia="仿宋_GB2312" w:cs="Times New Roman"/>
                <w:kern w:val="2"/>
                <w:sz w:val="28"/>
                <w:szCs w:val="32"/>
                <w:vertAlign w:val="baseline"/>
                <w:lang w:val="en-US" w:eastAsia="zh-CN" w:bidi="ar-SA"/>
              </w:rPr>
            </w:pPr>
            <w:r>
              <w:rPr>
                <w:rFonts w:hint="eastAsia" w:cs="Times New Roman"/>
                <w:kern w:val="2"/>
                <w:sz w:val="28"/>
                <w:szCs w:val="32"/>
                <w:vertAlign w:val="baseline"/>
                <w:lang w:val="en-US" w:eastAsia="zh-CN" w:bidi="ar-SA"/>
              </w:rPr>
              <w:t>更换维修</w:t>
            </w:r>
          </w:p>
        </w:tc>
        <w:tc>
          <w:tcPr>
            <w:tcW w:w="253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Calibri" w:eastAsia="仿宋_GB2312" w:cs="Times New Roman"/>
                <w:kern w:val="2"/>
                <w:sz w:val="28"/>
                <w:szCs w:val="32"/>
                <w:vertAlign w:val="baseline"/>
                <w:lang w:val="en-US" w:eastAsia="zh-CN" w:bidi="ar-SA"/>
              </w:rPr>
            </w:pPr>
            <w:r>
              <w:rPr>
                <w:rFonts w:hint="eastAsia" w:ascii="仿宋_GB2312" w:hAnsi="Calibri" w:eastAsia="仿宋_GB2312" w:cs="Times New Roman"/>
                <w:kern w:val="2"/>
                <w:sz w:val="28"/>
                <w:szCs w:val="32"/>
                <w:vertAlign w:val="baseline"/>
                <w:lang w:val="en-US" w:eastAsia="zh-CN" w:bidi="ar-SA"/>
              </w:rPr>
              <w:t>20kV穿墙套管175*255</w:t>
            </w:r>
          </w:p>
        </w:tc>
        <w:tc>
          <w:tcPr>
            <w:tcW w:w="1705" w:type="dxa"/>
            <w:shd w:val="clear" w:color="auto" w:fill="auto"/>
            <w:vAlign w:val="center"/>
          </w:tcPr>
          <w:p>
            <w:pPr>
              <w:numPr>
                <w:ilvl w:val="0"/>
                <w:numId w:val="0"/>
              </w:numPr>
              <w:ind w:left="0" w:leftChars="0" w:firstLine="0" w:firstLineChars="0"/>
              <w:jc w:val="center"/>
              <w:rPr>
                <w:rFonts w:hint="eastAsia" w:ascii="仿宋_GB2312" w:hAnsi="Calibri" w:eastAsia="仿宋_GB2312" w:cs="Times New Roman"/>
                <w:kern w:val="2"/>
                <w:sz w:val="28"/>
                <w:szCs w:val="32"/>
                <w:vertAlign w:val="baseline"/>
                <w:lang w:val="en-US" w:eastAsia="zh-CN" w:bidi="ar-SA"/>
              </w:rPr>
            </w:pPr>
            <w:r>
              <w:rPr>
                <w:rFonts w:hint="eastAsia" w:ascii="仿宋_GB2312" w:hAnsi="Calibri" w:eastAsia="仿宋_GB2312" w:cs="Times New Roman"/>
                <w:kern w:val="2"/>
                <w:sz w:val="28"/>
                <w:szCs w:val="32"/>
                <w:vertAlign w:val="baseline"/>
                <w:lang w:val="en-US" w:eastAsia="zh-CN" w:bidi="ar-SA"/>
              </w:rPr>
              <w:t>只</w:t>
            </w:r>
          </w:p>
        </w:tc>
        <w:tc>
          <w:tcPr>
            <w:tcW w:w="1705" w:type="dxa"/>
            <w:shd w:val="clear" w:color="auto" w:fill="auto"/>
            <w:vAlign w:val="center"/>
          </w:tcPr>
          <w:p>
            <w:pPr>
              <w:numPr>
                <w:ilvl w:val="0"/>
                <w:numId w:val="0"/>
              </w:numPr>
              <w:ind w:left="0" w:leftChars="0" w:firstLine="0" w:firstLineChars="0"/>
              <w:jc w:val="center"/>
              <w:rPr>
                <w:rFonts w:hint="default" w:ascii="仿宋_GB2312" w:hAnsi="Calibri" w:eastAsia="仿宋_GB2312" w:cs="Times New Roman"/>
                <w:kern w:val="2"/>
                <w:sz w:val="28"/>
                <w:szCs w:val="32"/>
                <w:vertAlign w:val="baseline"/>
                <w:lang w:val="en-US" w:eastAsia="zh-CN" w:bidi="ar-SA"/>
              </w:rPr>
            </w:pPr>
            <w:r>
              <w:rPr>
                <w:rFonts w:hint="eastAsia" w:cs="Times New Roman"/>
                <w:kern w:val="2"/>
                <w:sz w:val="28"/>
                <w:szCs w:val="32"/>
                <w:vertAlign w:val="baseline"/>
                <w:lang w:val="en-US" w:eastAsia="zh-CN" w:bidi="ar-S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83" w:type="dxa"/>
            <w:shd w:val="clear" w:color="auto" w:fill="auto"/>
            <w:vAlign w:val="center"/>
          </w:tcPr>
          <w:p>
            <w:pPr>
              <w:numPr>
                <w:ilvl w:val="0"/>
                <w:numId w:val="0"/>
              </w:numPr>
              <w:ind w:left="0" w:leftChars="0" w:firstLine="0" w:firstLineChars="0"/>
              <w:jc w:val="center"/>
              <w:rPr>
                <w:rFonts w:hint="default" w:ascii="仿宋_GB2312" w:hAnsi="Calibri" w:eastAsia="仿宋_GB2312" w:cs="Times New Roman"/>
                <w:kern w:val="2"/>
                <w:sz w:val="28"/>
                <w:szCs w:val="32"/>
                <w:vertAlign w:val="baseline"/>
                <w:lang w:val="en-US" w:eastAsia="zh-CN" w:bidi="ar-SA"/>
              </w:rPr>
            </w:pPr>
            <w:r>
              <w:rPr>
                <w:rFonts w:hint="eastAsia" w:cs="Times New Roman"/>
                <w:kern w:val="2"/>
                <w:sz w:val="28"/>
                <w:szCs w:val="32"/>
                <w:vertAlign w:val="baseline"/>
                <w:lang w:val="en-US" w:eastAsia="zh-CN" w:bidi="ar-SA"/>
              </w:rPr>
              <w:t>2</w:t>
            </w:r>
          </w:p>
        </w:tc>
        <w:tc>
          <w:tcPr>
            <w:tcW w:w="1694" w:type="dxa"/>
            <w:shd w:val="clear" w:color="auto" w:fill="auto"/>
            <w:vAlign w:val="center"/>
          </w:tcPr>
          <w:p>
            <w:pPr>
              <w:numPr>
                <w:ilvl w:val="0"/>
                <w:numId w:val="0"/>
              </w:numPr>
              <w:ind w:left="0" w:leftChars="0" w:firstLine="0" w:firstLineChars="0"/>
              <w:jc w:val="center"/>
              <w:rPr>
                <w:rFonts w:hint="eastAsia" w:ascii="仿宋_GB2312" w:hAnsi="Calibri" w:eastAsia="仿宋_GB2312" w:cs="Times New Roman"/>
                <w:kern w:val="2"/>
                <w:sz w:val="28"/>
                <w:szCs w:val="32"/>
                <w:vertAlign w:val="baseline"/>
                <w:lang w:val="en-US" w:eastAsia="zh-CN" w:bidi="ar-SA"/>
              </w:rPr>
            </w:pPr>
            <w:r>
              <w:rPr>
                <w:rFonts w:hint="eastAsia" w:cs="Times New Roman"/>
                <w:kern w:val="2"/>
                <w:sz w:val="28"/>
                <w:szCs w:val="32"/>
                <w:vertAlign w:val="baseline"/>
                <w:lang w:val="en-US" w:eastAsia="zh-CN" w:bidi="ar-SA"/>
              </w:rPr>
              <w:t>更换维修</w:t>
            </w:r>
          </w:p>
        </w:tc>
        <w:tc>
          <w:tcPr>
            <w:tcW w:w="253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Calibri" w:eastAsia="仿宋_GB2312" w:cs="Times New Roman"/>
                <w:kern w:val="2"/>
                <w:sz w:val="28"/>
                <w:szCs w:val="32"/>
                <w:vertAlign w:val="baseline"/>
                <w:lang w:val="en-US" w:eastAsia="zh-CN" w:bidi="ar-SA"/>
              </w:rPr>
            </w:pPr>
            <w:r>
              <w:rPr>
                <w:rFonts w:hint="eastAsia" w:ascii="仿宋_GB2312" w:hAnsi="Calibri" w:eastAsia="仿宋_GB2312" w:cs="Times New Roman"/>
                <w:kern w:val="2"/>
                <w:sz w:val="28"/>
                <w:szCs w:val="32"/>
                <w:vertAlign w:val="baseline"/>
                <w:lang w:val="en-US" w:eastAsia="zh-CN" w:bidi="ar-SA"/>
              </w:rPr>
              <w:t>20kV传感器 110*210</w:t>
            </w:r>
          </w:p>
        </w:tc>
        <w:tc>
          <w:tcPr>
            <w:tcW w:w="1705" w:type="dxa"/>
            <w:shd w:val="clear" w:color="auto" w:fill="auto"/>
            <w:vAlign w:val="center"/>
          </w:tcPr>
          <w:p>
            <w:pPr>
              <w:numPr>
                <w:ilvl w:val="0"/>
                <w:numId w:val="0"/>
              </w:numPr>
              <w:ind w:left="0" w:leftChars="0" w:firstLine="0" w:firstLineChars="0"/>
              <w:jc w:val="center"/>
              <w:rPr>
                <w:rFonts w:hint="eastAsia" w:ascii="仿宋_GB2312" w:hAnsi="Calibri" w:eastAsia="仿宋_GB2312" w:cs="Times New Roman"/>
                <w:kern w:val="2"/>
                <w:sz w:val="28"/>
                <w:szCs w:val="32"/>
                <w:vertAlign w:val="baseline"/>
                <w:lang w:val="en-US" w:eastAsia="zh-CN" w:bidi="ar-SA"/>
              </w:rPr>
            </w:pPr>
            <w:r>
              <w:rPr>
                <w:rFonts w:hint="eastAsia" w:ascii="仿宋_GB2312" w:hAnsi="Calibri" w:eastAsia="仿宋_GB2312" w:cs="Times New Roman"/>
                <w:kern w:val="2"/>
                <w:sz w:val="28"/>
                <w:szCs w:val="32"/>
                <w:vertAlign w:val="baseline"/>
                <w:lang w:val="en-US" w:eastAsia="zh-CN" w:bidi="ar-SA"/>
              </w:rPr>
              <w:t>只</w:t>
            </w:r>
          </w:p>
        </w:tc>
        <w:tc>
          <w:tcPr>
            <w:tcW w:w="1705" w:type="dxa"/>
            <w:shd w:val="clear" w:color="auto" w:fill="auto"/>
            <w:vAlign w:val="center"/>
          </w:tcPr>
          <w:p>
            <w:pPr>
              <w:numPr>
                <w:ilvl w:val="0"/>
                <w:numId w:val="0"/>
              </w:numPr>
              <w:ind w:left="0" w:leftChars="0" w:firstLine="0" w:firstLineChars="0"/>
              <w:jc w:val="center"/>
              <w:rPr>
                <w:rFonts w:hint="default" w:ascii="仿宋_GB2312" w:hAnsi="Calibri" w:eastAsia="仿宋_GB2312" w:cs="Times New Roman"/>
                <w:kern w:val="2"/>
                <w:sz w:val="28"/>
                <w:szCs w:val="32"/>
                <w:vertAlign w:val="baseline"/>
                <w:lang w:val="en-US" w:eastAsia="zh-CN" w:bidi="ar-SA"/>
              </w:rPr>
            </w:pPr>
            <w:r>
              <w:rPr>
                <w:rFonts w:hint="eastAsia" w:cs="Times New Roman"/>
                <w:kern w:val="2"/>
                <w:sz w:val="28"/>
                <w:szCs w:val="32"/>
                <w:vertAlign w:val="baseline"/>
                <w:lang w:val="en-US" w:eastAsia="zh-CN" w:bidi="ar-S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83" w:type="dxa"/>
            <w:shd w:val="clear" w:color="auto" w:fill="auto"/>
            <w:vAlign w:val="center"/>
          </w:tcPr>
          <w:p>
            <w:pPr>
              <w:numPr>
                <w:ilvl w:val="0"/>
                <w:numId w:val="0"/>
              </w:numPr>
              <w:ind w:left="0" w:leftChars="0" w:firstLine="0" w:firstLineChars="0"/>
              <w:jc w:val="center"/>
              <w:rPr>
                <w:rFonts w:hint="default" w:ascii="仿宋_GB2312" w:hAnsi="Calibri" w:eastAsia="仿宋_GB2312" w:cs="Times New Roman"/>
                <w:kern w:val="2"/>
                <w:sz w:val="28"/>
                <w:szCs w:val="32"/>
                <w:vertAlign w:val="baseline"/>
                <w:lang w:val="en-US" w:eastAsia="zh-CN" w:bidi="ar-SA"/>
              </w:rPr>
            </w:pPr>
            <w:r>
              <w:rPr>
                <w:rFonts w:hint="eastAsia" w:cs="Times New Roman"/>
                <w:kern w:val="2"/>
                <w:sz w:val="28"/>
                <w:szCs w:val="32"/>
                <w:vertAlign w:val="baseline"/>
                <w:lang w:val="en-US" w:eastAsia="zh-CN" w:bidi="ar-SA"/>
              </w:rPr>
              <w:t>3</w:t>
            </w:r>
          </w:p>
        </w:tc>
        <w:tc>
          <w:tcPr>
            <w:tcW w:w="1694" w:type="dxa"/>
            <w:shd w:val="clear" w:color="auto" w:fill="auto"/>
            <w:vAlign w:val="center"/>
          </w:tcPr>
          <w:p>
            <w:pPr>
              <w:numPr>
                <w:ilvl w:val="0"/>
                <w:numId w:val="0"/>
              </w:numPr>
              <w:ind w:left="0" w:leftChars="0" w:firstLine="0" w:firstLineChars="0"/>
              <w:jc w:val="center"/>
              <w:rPr>
                <w:rFonts w:hint="eastAsia" w:ascii="仿宋_GB2312" w:hAnsi="Calibri" w:eastAsia="仿宋_GB2312" w:cs="Times New Roman"/>
                <w:kern w:val="2"/>
                <w:sz w:val="28"/>
                <w:szCs w:val="32"/>
                <w:vertAlign w:val="baseline"/>
                <w:lang w:val="en-US" w:eastAsia="zh-CN" w:bidi="ar-SA"/>
              </w:rPr>
            </w:pPr>
            <w:r>
              <w:rPr>
                <w:rFonts w:hint="eastAsia" w:cs="Times New Roman"/>
                <w:kern w:val="2"/>
                <w:sz w:val="28"/>
                <w:szCs w:val="32"/>
                <w:vertAlign w:val="baseline"/>
                <w:lang w:val="en-US" w:eastAsia="zh-CN" w:bidi="ar-SA"/>
              </w:rPr>
              <w:t>更换维修</w:t>
            </w:r>
          </w:p>
        </w:tc>
        <w:tc>
          <w:tcPr>
            <w:tcW w:w="253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Calibri" w:eastAsia="仿宋_GB2312" w:cs="Times New Roman"/>
                <w:kern w:val="2"/>
                <w:sz w:val="28"/>
                <w:szCs w:val="32"/>
                <w:vertAlign w:val="baseline"/>
                <w:lang w:val="en-US" w:eastAsia="zh-CN" w:bidi="ar-SA"/>
              </w:rPr>
            </w:pPr>
            <w:r>
              <w:rPr>
                <w:rFonts w:hint="eastAsia" w:ascii="仿宋_GB2312" w:hAnsi="Calibri" w:eastAsia="仿宋_GB2312" w:cs="Times New Roman"/>
                <w:kern w:val="2"/>
                <w:sz w:val="28"/>
                <w:szCs w:val="32"/>
                <w:vertAlign w:val="baseline"/>
                <w:lang w:val="en-US" w:eastAsia="zh-CN" w:bidi="ar-SA"/>
              </w:rPr>
              <w:t>20kV绝缘子 110*210</w:t>
            </w:r>
          </w:p>
        </w:tc>
        <w:tc>
          <w:tcPr>
            <w:tcW w:w="1705" w:type="dxa"/>
            <w:shd w:val="clear" w:color="auto" w:fill="auto"/>
            <w:vAlign w:val="center"/>
          </w:tcPr>
          <w:p>
            <w:pPr>
              <w:numPr>
                <w:ilvl w:val="0"/>
                <w:numId w:val="0"/>
              </w:numPr>
              <w:ind w:left="0" w:leftChars="0" w:firstLine="0" w:firstLineChars="0"/>
              <w:jc w:val="center"/>
              <w:rPr>
                <w:rFonts w:hint="eastAsia" w:ascii="仿宋_GB2312" w:hAnsi="Calibri" w:eastAsia="仿宋_GB2312" w:cs="Times New Roman"/>
                <w:kern w:val="2"/>
                <w:sz w:val="28"/>
                <w:szCs w:val="32"/>
                <w:vertAlign w:val="baseline"/>
                <w:lang w:val="en-US" w:eastAsia="zh-CN" w:bidi="ar-SA"/>
              </w:rPr>
            </w:pPr>
            <w:r>
              <w:rPr>
                <w:rFonts w:hint="eastAsia" w:ascii="仿宋_GB2312" w:hAnsi="Calibri" w:eastAsia="仿宋_GB2312" w:cs="Times New Roman"/>
                <w:kern w:val="2"/>
                <w:sz w:val="28"/>
                <w:szCs w:val="32"/>
                <w:vertAlign w:val="baseline"/>
                <w:lang w:val="en-US" w:eastAsia="zh-CN" w:bidi="ar-SA"/>
              </w:rPr>
              <w:t>只</w:t>
            </w:r>
          </w:p>
        </w:tc>
        <w:tc>
          <w:tcPr>
            <w:tcW w:w="1705" w:type="dxa"/>
            <w:shd w:val="clear" w:color="auto" w:fill="auto"/>
            <w:vAlign w:val="center"/>
          </w:tcPr>
          <w:p>
            <w:pPr>
              <w:numPr>
                <w:ilvl w:val="0"/>
                <w:numId w:val="0"/>
              </w:numPr>
              <w:ind w:left="0" w:leftChars="0" w:firstLine="0" w:firstLineChars="0"/>
              <w:jc w:val="center"/>
              <w:rPr>
                <w:rFonts w:hint="default" w:ascii="仿宋_GB2312" w:hAnsi="Calibri" w:eastAsia="仿宋_GB2312" w:cs="Times New Roman"/>
                <w:kern w:val="2"/>
                <w:sz w:val="28"/>
                <w:szCs w:val="32"/>
                <w:vertAlign w:val="baseline"/>
                <w:lang w:val="en-US" w:eastAsia="zh-CN" w:bidi="ar-SA"/>
              </w:rPr>
            </w:pPr>
            <w:r>
              <w:rPr>
                <w:rFonts w:hint="eastAsia" w:cs="Times New Roman"/>
                <w:kern w:val="2"/>
                <w:sz w:val="28"/>
                <w:szCs w:val="32"/>
                <w:vertAlign w:val="baseline"/>
                <w:lang w:val="en-US" w:eastAsia="zh-CN" w:bidi="ar-S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83" w:type="dxa"/>
            <w:shd w:val="clear" w:color="auto" w:fill="auto"/>
            <w:vAlign w:val="top"/>
          </w:tcPr>
          <w:p>
            <w:pPr>
              <w:numPr>
                <w:ilvl w:val="0"/>
                <w:numId w:val="0"/>
              </w:numPr>
              <w:ind w:left="0" w:leftChars="0" w:firstLine="0" w:firstLineChars="0"/>
              <w:jc w:val="center"/>
              <w:rPr>
                <w:rFonts w:hint="default" w:ascii="仿宋_GB2312" w:hAnsi="Calibri" w:eastAsia="仿宋_GB2312" w:cs="Times New Roman"/>
                <w:kern w:val="2"/>
                <w:sz w:val="28"/>
                <w:szCs w:val="32"/>
                <w:vertAlign w:val="baseline"/>
                <w:lang w:val="en-US" w:eastAsia="zh-CN" w:bidi="ar-SA"/>
              </w:rPr>
            </w:pPr>
            <w:r>
              <w:rPr>
                <w:rFonts w:hint="eastAsia" w:cs="Times New Roman"/>
                <w:kern w:val="2"/>
                <w:sz w:val="28"/>
                <w:szCs w:val="32"/>
                <w:vertAlign w:val="baseline"/>
                <w:lang w:val="en-US" w:eastAsia="zh-CN" w:bidi="ar-SA"/>
              </w:rPr>
              <w:t>4</w:t>
            </w:r>
          </w:p>
        </w:tc>
        <w:tc>
          <w:tcPr>
            <w:tcW w:w="1694" w:type="dxa"/>
            <w:shd w:val="clear" w:color="auto" w:fill="auto"/>
            <w:vAlign w:val="center"/>
          </w:tcPr>
          <w:p>
            <w:pPr>
              <w:numPr>
                <w:ilvl w:val="0"/>
                <w:numId w:val="0"/>
              </w:numPr>
              <w:ind w:left="0" w:leftChars="0" w:firstLine="0" w:firstLineChars="0"/>
              <w:jc w:val="center"/>
              <w:rPr>
                <w:rFonts w:hint="eastAsia" w:ascii="仿宋_GB2312" w:hAnsi="Calibri" w:eastAsia="仿宋_GB2312" w:cs="Times New Roman"/>
                <w:kern w:val="2"/>
                <w:sz w:val="28"/>
                <w:szCs w:val="32"/>
                <w:vertAlign w:val="baseline"/>
                <w:lang w:val="en-US" w:eastAsia="zh-CN" w:bidi="ar-SA"/>
              </w:rPr>
            </w:pPr>
            <w:r>
              <w:rPr>
                <w:rFonts w:hint="eastAsia" w:cs="Times New Roman"/>
                <w:kern w:val="2"/>
                <w:sz w:val="28"/>
                <w:szCs w:val="32"/>
                <w:vertAlign w:val="baseline"/>
                <w:lang w:val="en-US" w:eastAsia="zh-CN" w:bidi="ar-SA"/>
              </w:rPr>
              <w:t>更换维修</w:t>
            </w:r>
          </w:p>
        </w:tc>
        <w:tc>
          <w:tcPr>
            <w:tcW w:w="2539" w:type="dxa"/>
            <w:shd w:val="clear" w:color="auto" w:fill="auto"/>
            <w:vAlign w:val="center"/>
          </w:tcPr>
          <w:p>
            <w:pPr>
              <w:numPr>
                <w:ilvl w:val="0"/>
                <w:numId w:val="0"/>
              </w:numPr>
              <w:ind w:left="0" w:leftChars="0" w:firstLine="0" w:firstLineChars="0"/>
              <w:jc w:val="center"/>
              <w:rPr>
                <w:rFonts w:hint="eastAsia" w:ascii="仿宋_GB2312" w:hAnsi="Calibri" w:eastAsia="仿宋_GB2312" w:cs="Times New Roman"/>
                <w:kern w:val="2"/>
                <w:sz w:val="28"/>
                <w:szCs w:val="32"/>
                <w:vertAlign w:val="baseline"/>
                <w:lang w:val="en-US" w:eastAsia="zh-CN" w:bidi="ar-SA"/>
              </w:rPr>
            </w:pPr>
            <w:r>
              <w:rPr>
                <w:rFonts w:hint="eastAsia" w:ascii="仿宋_GB2312" w:hAnsi="Calibri" w:eastAsia="仿宋_GB2312" w:cs="Times New Roman"/>
                <w:kern w:val="2"/>
                <w:sz w:val="28"/>
                <w:szCs w:val="32"/>
                <w:vertAlign w:val="baseline"/>
                <w:lang w:val="en-US" w:eastAsia="zh-CN" w:bidi="ar-SA"/>
              </w:rPr>
              <w:t>20kV触头盒225</w:t>
            </w:r>
          </w:p>
        </w:tc>
        <w:tc>
          <w:tcPr>
            <w:tcW w:w="1705" w:type="dxa"/>
            <w:shd w:val="clear" w:color="auto" w:fill="auto"/>
            <w:vAlign w:val="center"/>
          </w:tcPr>
          <w:p>
            <w:pPr>
              <w:numPr>
                <w:ilvl w:val="0"/>
                <w:numId w:val="0"/>
              </w:numPr>
              <w:ind w:left="0" w:leftChars="0" w:firstLine="0" w:firstLineChars="0"/>
              <w:jc w:val="center"/>
              <w:rPr>
                <w:rFonts w:hint="eastAsia" w:ascii="仿宋_GB2312" w:hAnsi="Calibri" w:eastAsia="仿宋_GB2312" w:cs="Times New Roman"/>
                <w:kern w:val="2"/>
                <w:sz w:val="28"/>
                <w:szCs w:val="32"/>
                <w:vertAlign w:val="baseline"/>
                <w:lang w:val="en-US" w:eastAsia="zh-CN" w:bidi="ar-SA"/>
              </w:rPr>
            </w:pPr>
            <w:r>
              <w:rPr>
                <w:rFonts w:hint="eastAsia" w:ascii="仿宋_GB2312" w:hAnsi="Calibri" w:eastAsia="仿宋_GB2312" w:cs="Times New Roman"/>
                <w:kern w:val="2"/>
                <w:sz w:val="28"/>
                <w:szCs w:val="32"/>
                <w:vertAlign w:val="baseline"/>
                <w:lang w:val="en-US" w:eastAsia="zh-CN" w:bidi="ar-SA"/>
              </w:rPr>
              <w:t>只</w:t>
            </w:r>
          </w:p>
        </w:tc>
        <w:tc>
          <w:tcPr>
            <w:tcW w:w="1705" w:type="dxa"/>
            <w:shd w:val="clear" w:color="auto" w:fill="auto"/>
            <w:vAlign w:val="top"/>
          </w:tcPr>
          <w:p>
            <w:pPr>
              <w:numPr>
                <w:ilvl w:val="0"/>
                <w:numId w:val="0"/>
              </w:numPr>
              <w:ind w:left="0" w:leftChars="0" w:firstLine="0" w:firstLineChars="0"/>
              <w:jc w:val="center"/>
              <w:rPr>
                <w:rFonts w:hint="default" w:ascii="仿宋_GB2312" w:hAnsi="Calibri" w:eastAsia="仿宋_GB2312" w:cs="Times New Roman"/>
                <w:kern w:val="2"/>
                <w:sz w:val="28"/>
                <w:szCs w:val="32"/>
                <w:vertAlign w:val="baseline"/>
                <w:lang w:val="en-US" w:eastAsia="zh-CN" w:bidi="ar-SA"/>
              </w:rPr>
            </w:pPr>
            <w:r>
              <w:rPr>
                <w:rFonts w:hint="eastAsia" w:cs="Times New Roman"/>
                <w:kern w:val="2"/>
                <w:sz w:val="28"/>
                <w:szCs w:val="32"/>
                <w:vertAlign w:val="baseline"/>
                <w:lang w:val="en-US" w:eastAsia="zh-CN" w:bidi="ar-SA"/>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5</w:t>
            </w:r>
          </w:p>
        </w:tc>
        <w:tc>
          <w:tcPr>
            <w:tcW w:w="1694"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变压器试验</w:t>
            </w:r>
          </w:p>
        </w:tc>
        <w:tc>
          <w:tcPr>
            <w:tcW w:w="2539"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1000kVA</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台</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6</w:t>
            </w:r>
          </w:p>
        </w:tc>
        <w:tc>
          <w:tcPr>
            <w:tcW w:w="1694"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高压柜试验</w:t>
            </w:r>
          </w:p>
        </w:tc>
        <w:tc>
          <w:tcPr>
            <w:tcW w:w="2539"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20kV</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项</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7</w:t>
            </w:r>
          </w:p>
        </w:tc>
        <w:tc>
          <w:tcPr>
            <w:tcW w:w="1694"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二次线检测</w:t>
            </w:r>
          </w:p>
        </w:tc>
        <w:tc>
          <w:tcPr>
            <w:tcW w:w="2539" w:type="dxa"/>
          </w:tcPr>
          <w:p>
            <w:pPr>
              <w:numPr>
                <w:ilvl w:val="0"/>
                <w:numId w:val="0"/>
              </w:numPr>
              <w:jc w:val="center"/>
              <w:rPr>
                <w:rFonts w:hint="eastAsia"/>
                <w:sz w:val="28"/>
                <w:szCs w:val="32"/>
                <w:vertAlign w:val="baseline"/>
                <w:lang w:val="en-US" w:eastAsia="zh-CN"/>
              </w:rPr>
            </w:pP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项</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8</w:t>
            </w:r>
          </w:p>
        </w:tc>
        <w:tc>
          <w:tcPr>
            <w:tcW w:w="1694"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继电保护</w:t>
            </w:r>
          </w:p>
        </w:tc>
        <w:tc>
          <w:tcPr>
            <w:tcW w:w="2539" w:type="dxa"/>
          </w:tcPr>
          <w:p>
            <w:pPr>
              <w:numPr>
                <w:ilvl w:val="0"/>
                <w:numId w:val="0"/>
              </w:numPr>
              <w:jc w:val="center"/>
              <w:rPr>
                <w:rFonts w:hint="eastAsia"/>
                <w:sz w:val="28"/>
                <w:szCs w:val="32"/>
                <w:vertAlign w:val="baseline"/>
                <w:lang w:val="en-US" w:eastAsia="zh-CN"/>
              </w:rPr>
            </w:pP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项</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9</w:t>
            </w:r>
          </w:p>
        </w:tc>
        <w:tc>
          <w:tcPr>
            <w:tcW w:w="1694"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电流互感器</w:t>
            </w:r>
          </w:p>
        </w:tc>
        <w:tc>
          <w:tcPr>
            <w:tcW w:w="2539"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20kV</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项</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10</w:t>
            </w:r>
          </w:p>
        </w:tc>
        <w:tc>
          <w:tcPr>
            <w:tcW w:w="1694"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母线试验</w:t>
            </w:r>
          </w:p>
        </w:tc>
        <w:tc>
          <w:tcPr>
            <w:tcW w:w="2539"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20kV</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项</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11</w:t>
            </w:r>
          </w:p>
        </w:tc>
        <w:tc>
          <w:tcPr>
            <w:tcW w:w="1694"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避雷器试验</w:t>
            </w:r>
          </w:p>
        </w:tc>
        <w:tc>
          <w:tcPr>
            <w:tcW w:w="2539"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20kV</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项</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12</w:t>
            </w:r>
          </w:p>
        </w:tc>
        <w:tc>
          <w:tcPr>
            <w:tcW w:w="1694"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电缆试验</w:t>
            </w:r>
          </w:p>
        </w:tc>
        <w:tc>
          <w:tcPr>
            <w:tcW w:w="2539"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20kV</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项</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13</w:t>
            </w:r>
          </w:p>
        </w:tc>
        <w:tc>
          <w:tcPr>
            <w:tcW w:w="1694"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接地试验</w:t>
            </w:r>
          </w:p>
        </w:tc>
        <w:tc>
          <w:tcPr>
            <w:tcW w:w="2539" w:type="dxa"/>
          </w:tcPr>
          <w:p>
            <w:pPr>
              <w:numPr>
                <w:ilvl w:val="0"/>
                <w:numId w:val="0"/>
              </w:numPr>
              <w:jc w:val="center"/>
              <w:rPr>
                <w:rFonts w:hint="eastAsia"/>
                <w:sz w:val="28"/>
                <w:szCs w:val="32"/>
                <w:vertAlign w:val="baseline"/>
                <w:lang w:val="en-US" w:eastAsia="zh-CN"/>
              </w:rPr>
            </w:pP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项</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14</w:t>
            </w:r>
          </w:p>
        </w:tc>
        <w:tc>
          <w:tcPr>
            <w:tcW w:w="1694"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低压柜试验</w:t>
            </w:r>
          </w:p>
        </w:tc>
        <w:tc>
          <w:tcPr>
            <w:tcW w:w="2539" w:type="dxa"/>
          </w:tcPr>
          <w:p>
            <w:pPr>
              <w:numPr>
                <w:ilvl w:val="0"/>
                <w:numId w:val="0"/>
              </w:numPr>
              <w:jc w:val="center"/>
              <w:rPr>
                <w:rFonts w:hint="eastAsia"/>
                <w:sz w:val="28"/>
                <w:szCs w:val="32"/>
                <w:vertAlign w:val="baseline"/>
                <w:lang w:val="en-US" w:eastAsia="zh-CN"/>
              </w:rPr>
            </w:pP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项</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15</w:t>
            </w:r>
          </w:p>
        </w:tc>
        <w:tc>
          <w:tcPr>
            <w:tcW w:w="1694"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高配间全面检查</w:t>
            </w:r>
          </w:p>
        </w:tc>
        <w:tc>
          <w:tcPr>
            <w:tcW w:w="2539"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对高压配电间内全部设备、线缆的全面安全检查</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次</w:t>
            </w:r>
          </w:p>
        </w:tc>
        <w:tc>
          <w:tcPr>
            <w:tcW w:w="1705"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r>
    </w:tbl>
    <w:p>
      <w:pPr>
        <w:pStyle w:val="5"/>
        <w:snapToGrid w:val="0"/>
        <w:spacing w:before="120" w:after="120" w:line="440" w:lineRule="exact"/>
        <w:rPr>
          <w:rFonts w:hAnsi="宋体"/>
          <w:b/>
          <w:bCs/>
          <w:sz w:val="24"/>
          <w:szCs w:val="24"/>
        </w:rPr>
      </w:pPr>
      <w:r>
        <w:rPr>
          <w:rFonts w:hint="eastAsia" w:hAnsi="宋体"/>
          <w:b/>
          <w:bCs/>
          <w:sz w:val="24"/>
          <w:szCs w:val="24"/>
        </w:rPr>
        <w:t>重要说明:</w:t>
      </w:r>
    </w:p>
    <w:p>
      <w:pPr>
        <w:pStyle w:val="5"/>
        <w:snapToGrid w:val="0"/>
        <w:spacing w:before="120" w:after="120" w:line="440" w:lineRule="exact"/>
        <w:ind w:firstLine="442" w:firstLineChars="200"/>
        <w:rPr>
          <w:rFonts w:hint="eastAsia" w:hAnsi="宋体"/>
          <w:b/>
          <w:bCs/>
          <w:color w:val="FF0000"/>
          <w:sz w:val="22"/>
          <w:szCs w:val="22"/>
          <w:lang w:val="en-US" w:eastAsia="zh-CN"/>
        </w:rPr>
      </w:pPr>
      <w:r>
        <w:rPr>
          <w:rFonts w:hint="eastAsia" w:hAnsi="宋体"/>
          <w:b/>
          <w:bCs/>
          <w:sz w:val="22"/>
          <w:szCs w:val="22"/>
        </w:rPr>
        <w:t>采购标的需满足的服务标准、期限、效率等要求</w:t>
      </w:r>
      <w:r>
        <w:rPr>
          <w:rFonts w:hint="eastAsia" w:hAnsi="宋体"/>
          <w:b/>
          <w:bCs/>
          <w:sz w:val="22"/>
          <w:szCs w:val="22"/>
          <w:lang w:val="en-US" w:eastAsia="zh-CN"/>
        </w:rPr>
        <w:t>，</w:t>
      </w:r>
      <w:r>
        <w:rPr>
          <w:rFonts w:hint="eastAsia" w:hAnsi="宋体"/>
          <w:b/>
          <w:bCs/>
          <w:color w:val="FF0000"/>
          <w:sz w:val="22"/>
          <w:szCs w:val="22"/>
          <w:lang w:val="en-US" w:eastAsia="zh-CN"/>
        </w:rPr>
        <w:t>高压配电间维修施工需要提供电力工程施工总承包资质三级及电力承装承修承试四级资质及以上资质。</w:t>
      </w:r>
    </w:p>
    <w:p>
      <w:pPr>
        <w:pStyle w:val="5"/>
        <w:snapToGrid w:val="0"/>
        <w:spacing w:before="120" w:after="120" w:line="440" w:lineRule="exact"/>
        <w:ind w:firstLine="442" w:firstLineChars="200"/>
        <w:rPr>
          <w:rFonts w:hint="default" w:hAnsi="宋体"/>
          <w:b/>
          <w:bCs/>
          <w:color w:val="FF0000"/>
          <w:sz w:val="22"/>
          <w:szCs w:val="22"/>
          <w:lang w:val="en-US" w:eastAsia="zh-CN"/>
        </w:rPr>
      </w:pPr>
      <w:r>
        <w:rPr>
          <w:rFonts w:hint="eastAsia" w:hAnsi="宋体"/>
          <w:b/>
          <w:bCs/>
          <w:color w:val="FF0000"/>
          <w:sz w:val="22"/>
          <w:szCs w:val="22"/>
          <w:lang w:val="en-US" w:eastAsia="zh-CN"/>
        </w:rPr>
        <w:t>因更换维修需要停外部电，由施工方报备供电部门，办理停送电手续。</w:t>
      </w:r>
    </w:p>
    <w:p>
      <w:pPr>
        <w:pStyle w:val="5"/>
        <w:snapToGrid w:val="0"/>
        <w:spacing w:before="120" w:after="120" w:line="440" w:lineRule="exact"/>
        <w:ind w:firstLine="442" w:firstLineChars="200"/>
        <w:rPr>
          <w:rFonts w:hint="default" w:hAnsi="宋体"/>
          <w:b/>
          <w:bCs/>
          <w:color w:val="FF0000"/>
          <w:sz w:val="22"/>
          <w:szCs w:val="22"/>
          <w:lang w:val="en-US" w:eastAsia="zh-CN"/>
        </w:rPr>
      </w:pPr>
      <w:r>
        <w:rPr>
          <w:rFonts w:hint="eastAsia" w:hAnsi="宋体"/>
          <w:b/>
          <w:bCs/>
          <w:color w:val="FF0000"/>
          <w:sz w:val="22"/>
          <w:szCs w:val="22"/>
          <w:lang w:val="en-US" w:eastAsia="zh-CN"/>
        </w:rPr>
        <w:t>高压配电间维修完毕后需要提供相应检测报告。</w:t>
      </w:r>
    </w:p>
    <w:p>
      <w:pPr>
        <w:spacing w:line="440" w:lineRule="exact"/>
        <w:ind w:firstLine="420" w:firstLineChars="200"/>
        <w:rPr>
          <w:rFonts w:ascii="宋体" w:hAnsi="宋体" w:eastAsia="宋体"/>
          <w:b/>
          <w:sz w:val="24"/>
          <w:szCs w:val="24"/>
        </w:rPr>
      </w:pPr>
      <w:r>
        <w:rPr>
          <w:rFonts w:hint="eastAsia" w:ascii="宋体" w:hAnsi="宋体" w:eastAsia="宋体"/>
        </w:rPr>
        <w:t>中标供应商须提供调试、培训、维护等服务，所有</w:t>
      </w:r>
      <w:r>
        <w:rPr>
          <w:rFonts w:hint="eastAsia" w:ascii="宋体" w:hAnsi="宋体" w:eastAsia="宋体"/>
          <w:lang w:val="en-US" w:eastAsia="zh-CN"/>
        </w:rPr>
        <w:t>高压配电间</w:t>
      </w:r>
      <w:r>
        <w:rPr>
          <w:rFonts w:hint="eastAsia" w:ascii="宋体" w:hAnsi="宋体" w:eastAsia="宋体"/>
        </w:rPr>
        <w:t>设备</w:t>
      </w:r>
      <w:r>
        <w:rPr>
          <w:rFonts w:hint="eastAsia" w:ascii="宋体" w:hAnsi="宋体" w:eastAsia="宋体"/>
          <w:lang w:val="en-US" w:eastAsia="zh-CN"/>
        </w:rPr>
        <w:t>需全面检测</w:t>
      </w:r>
      <w:r>
        <w:rPr>
          <w:rFonts w:hint="eastAsia" w:ascii="宋体" w:hAnsi="宋体" w:eastAsia="宋体"/>
        </w:rPr>
        <w:t>，</w:t>
      </w:r>
      <w:r>
        <w:rPr>
          <w:rFonts w:hint="eastAsia" w:ascii="宋体" w:hAnsi="宋体" w:eastAsia="宋体"/>
          <w:lang w:val="en-US" w:eastAsia="zh-CN"/>
        </w:rPr>
        <w:t>如出现设备</w:t>
      </w:r>
      <w:r>
        <w:rPr>
          <w:rFonts w:hint="eastAsia" w:ascii="宋体" w:hAnsi="宋体" w:eastAsia="宋体"/>
        </w:rPr>
        <w:t>维修只收材料</w:t>
      </w:r>
      <w:r>
        <w:rPr>
          <w:rFonts w:hint="eastAsia" w:ascii="宋体" w:hAnsi="宋体" w:eastAsia="宋体"/>
          <w:lang w:eastAsia="zh-CN"/>
        </w:rPr>
        <w:t>、</w:t>
      </w:r>
      <w:r>
        <w:rPr>
          <w:rFonts w:hint="eastAsia" w:ascii="宋体" w:hAnsi="宋体" w:eastAsia="宋体"/>
          <w:lang w:val="en-US" w:eastAsia="zh-CN"/>
        </w:rPr>
        <w:t>设备</w:t>
      </w:r>
      <w:r>
        <w:rPr>
          <w:rFonts w:hint="eastAsia" w:ascii="宋体" w:hAnsi="宋体" w:eastAsia="宋体"/>
        </w:rPr>
        <w:t>成本费。接到用户通知需</w:t>
      </w:r>
      <w:r>
        <w:rPr>
          <w:rFonts w:hint="eastAsia" w:ascii="宋体" w:hAnsi="宋体" w:eastAsia="宋体"/>
          <w:lang w:val="en-US" w:eastAsia="zh-CN"/>
        </w:rPr>
        <w:t>4</w:t>
      </w:r>
      <w:r>
        <w:rPr>
          <w:rFonts w:hint="eastAsia" w:ascii="宋体" w:hAnsi="宋体" w:eastAsia="宋体"/>
        </w:rPr>
        <w:t>小时内上门，</w:t>
      </w:r>
      <w:r>
        <w:rPr>
          <w:rFonts w:hint="eastAsia" w:ascii="宋体" w:hAnsi="宋体" w:eastAsia="宋体"/>
          <w:lang w:val="en-US" w:eastAsia="zh-CN"/>
        </w:rPr>
        <w:t>24</w:t>
      </w:r>
      <w:r>
        <w:rPr>
          <w:rFonts w:hint="eastAsia" w:ascii="宋体" w:hAnsi="宋体" w:eastAsia="宋体"/>
        </w:rPr>
        <w:t>小时内解决问题。</w:t>
      </w: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南通开发区星湖小学高压配电间维修项目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（1）所有设备安装调试完成，经验收合格后，一周内支付</w:t>
      </w:r>
      <w:r>
        <w:rPr>
          <w:rFonts w:hint="eastAsia" w:ascii="宋体" w:hAnsi="宋体" w:eastAsia="宋体" w:cs="新宋体"/>
          <w:sz w:val="24"/>
          <w:szCs w:val="24"/>
          <w:lang w:val="en-US" w:eastAsia="zh-CN"/>
        </w:rPr>
        <w:t>95</w:t>
      </w:r>
      <w:r>
        <w:rPr>
          <w:rFonts w:hint="eastAsia" w:ascii="宋体" w:hAnsi="宋体" w:eastAsia="宋体" w:cs="新宋体"/>
          <w:sz w:val="24"/>
          <w:szCs w:val="24"/>
        </w:rPr>
        <w:t>%的合同价款；</w:t>
      </w:r>
      <w:r>
        <w:rPr>
          <w:rFonts w:hint="eastAsia" w:ascii="宋体" w:hAnsi="宋体" w:eastAsia="宋体" w:cs="新宋体"/>
          <w:sz w:val="24"/>
          <w:szCs w:val="24"/>
          <w:lang w:val="en-US" w:eastAsia="zh-CN"/>
        </w:rPr>
        <w:t>免费质保期满后，如质保期内无质量或服务问题，</w:t>
      </w:r>
      <w:r>
        <w:rPr>
          <w:rFonts w:hint="eastAsia" w:ascii="宋体" w:hAnsi="宋体" w:eastAsia="宋体" w:cs="新宋体"/>
          <w:sz w:val="24"/>
          <w:szCs w:val="24"/>
        </w:rPr>
        <w:t>一周内付至合同价款的100%</w:t>
      </w:r>
      <w:r>
        <w:rPr>
          <w:rFonts w:hint="eastAsia" w:ascii="宋体" w:hAnsi="宋体" w:eastAsia="宋体" w:cs="宋体"/>
          <w:bCs/>
          <w:sz w:val="24"/>
          <w:szCs w:val="24"/>
        </w:rPr>
        <w:t>。</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w:t>
      </w:r>
      <w:r>
        <w:rPr>
          <w:rFonts w:hint="eastAsia" w:ascii="宋体" w:hAnsi="宋体" w:eastAsia="宋体" w:cs="新宋体"/>
          <w:sz w:val="24"/>
          <w:szCs w:val="24"/>
          <w:u w:val="single"/>
          <w:lang w:val="en-US" w:eastAsia="zh-CN"/>
        </w:rPr>
        <w:t>壹</w:t>
      </w:r>
      <w:r>
        <w:rPr>
          <w:rFonts w:hint="eastAsia" w:ascii="宋体" w:hAnsi="宋体" w:eastAsia="宋体" w:cs="新宋体"/>
          <w:sz w:val="24"/>
          <w:szCs w:val="24"/>
          <w:u w:val="single"/>
        </w:rPr>
        <w:t xml:space="preserve">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3"/>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3"/>
              <w:adjustRightInd w:val="0"/>
              <w:snapToGrid w:val="0"/>
              <w:spacing w:line="300" w:lineRule="auto"/>
              <w:rPr>
                <w:rFonts w:ascii="宋体" w:hAnsi="宋体" w:eastAsia="宋体" w:cs="宋体"/>
                <w:kern w:val="2"/>
                <w:sz w:val="24"/>
                <w:szCs w:val="24"/>
              </w:rPr>
            </w:pPr>
          </w:p>
        </w:tc>
        <w:tc>
          <w:tcPr>
            <w:tcW w:w="2094" w:type="pct"/>
            <w:vAlign w:val="center"/>
          </w:tcPr>
          <w:p>
            <w:pPr>
              <w:pStyle w:val="3"/>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3"/>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hint="eastAsia" w:ascii="宋体" w:hAnsi="宋体" w:eastAsia="宋体"/>
          <w:sz w:val="24"/>
          <w:szCs w:val="24"/>
          <w:lang w:val="en-US" w:eastAsia="zh-CN"/>
        </w:rPr>
        <w:t>4</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4"/>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4"/>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snapToGrid w:val="0"/>
        <w:spacing w:line="400" w:lineRule="exact"/>
        <w:contextualSpacing/>
        <w:rPr>
          <w:rFonts w:hint="eastAsia" w:ascii="宋体" w:hAnsi="宋体" w:eastAsia="宋体" w:cs="Times New Roman"/>
          <w:b/>
          <w:kern w:val="2"/>
          <w:sz w:val="32"/>
          <w:szCs w:val="32"/>
          <w:lang w:val="en-US" w:eastAsia="zh-CN" w:bidi="ar-SA"/>
        </w:rPr>
      </w:pPr>
      <w:r>
        <w:rPr>
          <w:rFonts w:ascii="宋体" w:hAnsi="宋体" w:eastAsia="宋体"/>
        </w:rPr>
        <w:br w:type="page"/>
      </w:r>
      <w:r>
        <w:rPr>
          <w:rFonts w:hint="eastAsia" w:ascii="宋体" w:hAnsi="宋体" w:eastAsia="宋体" w:cs="Times New Roman"/>
          <w:b/>
          <w:w w:val="90"/>
          <w:kern w:val="2"/>
          <w:sz w:val="32"/>
          <w:szCs w:val="32"/>
          <w:lang w:val="en-US" w:eastAsia="zh-CN" w:bidi="ar-SA"/>
        </w:rPr>
        <w:t>6、投标人符合《政府采购法》第二十二条规定条件的声明函</w:t>
      </w:r>
    </w:p>
    <w:p>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我单位参加</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（项目名称）投标活动。针对《中华人民共和国政府采购法》第二十二条规定做出如下声明：</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1.我单位具有独立承担民事责任的能力；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2.我单位具有良好的商业信誉和健全的财务会计制度；</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3.我单位具有履行合同所必需的设备和专业技术能力；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4.我单位有依法缴纳税收和社会保障资金的良好记录；</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6.我单位满足法律、行政法规规定的其他条件。</w:t>
      </w: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承诺人名称（公章）：</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r>
        <w:rPr>
          <w:rFonts w:hint="eastAsia" w:ascii="宋体" w:hAnsi="宋体" w:eastAsia="宋体" w:cs="仿宋_GB2312"/>
          <w:sz w:val="23"/>
          <w:szCs w:val="23"/>
          <w:lang w:val="en-US" w:eastAsia="zh-CN"/>
        </w:rPr>
        <w:t xml:space="preserve">        </w:t>
      </w:r>
      <w:r>
        <w:rPr>
          <w:rFonts w:hint="eastAsia" w:ascii="宋体" w:hAnsi="宋体" w:eastAsia="宋体" w:cs="仿宋_GB2312"/>
          <w:sz w:val="23"/>
          <w:szCs w:val="23"/>
        </w:rPr>
        <w:t>日期：</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年</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月</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日</w:t>
      </w: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南通开发区星湖小学高压配电间维修项目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南通开发区星湖小学高压配电间维修项目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MTU1ODA2NjJmZjg0NGE5ZDkwYzM0NTQwNjY3NzQ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6B6611"/>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28B0641"/>
    <w:rsid w:val="04044909"/>
    <w:rsid w:val="04293D1D"/>
    <w:rsid w:val="0430271B"/>
    <w:rsid w:val="04621485"/>
    <w:rsid w:val="047A657B"/>
    <w:rsid w:val="05892AE5"/>
    <w:rsid w:val="05DE0F09"/>
    <w:rsid w:val="06D83757"/>
    <w:rsid w:val="08144141"/>
    <w:rsid w:val="082D4C8B"/>
    <w:rsid w:val="0AC67231"/>
    <w:rsid w:val="0BA53987"/>
    <w:rsid w:val="0CEB6D41"/>
    <w:rsid w:val="0D4A1C50"/>
    <w:rsid w:val="0E195485"/>
    <w:rsid w:val="0E1B4E92"/>
    <w:rsid w:val="0EED74D6"/>
    <w:rsid w:val="0F2952B4"/>
    <w:rsid w:val="101A7331"/>
    <w:rsid w:val="10C23766"/>
    <w:rsid w:val="10CE22C9"/>
    <w:rsid w:val="12405819"/>
    <w:rsid w:val="1366623E"/>
    <w:rsid w:val="141B7A0D"/>
    <w:rsid w:val="143F00AF"/>
    <w:rsid w:val="148364FA"/>
    <w:rsid w:val="15FF11DD"/>
    <w:rsid w:val="172964C1"/>
    <w:rsid w:val="18085FAA"/>
    <w:rsid w:val="18420A9A"/>
    <w:rsid w:val="18B91FD8"/>
    <w:rsid w:val="193E1106"/>
    <w:rsid w:val="19A43F2C"/>
    <w:rsid w:val="19F53ACB"/>
    <w:rsid w:val="1AD5032B"/>
    <w:rsid w:val="1B2B0E96"/>
    <w:rsid w:val="1B816820"/>
    <w:rsid w:val="1C9C18AD"/>
    <w:rsid w:val="1D932FAF"/>
    <w:rsid w:val="203F46B7"/>
    <w:rsid w:val="21AB7CE3"/>
    <w:rsid w:val="21DC404C"/>
    <w:rsid w:val="22DE15F0"/>
    <w:rsid w:val="23A75FF7"/>
    <w:rsid w:val="23D21CB9"/>
    <w:rsid w:val="24C85546"/>
    <w:rsid w:val="264A1001"/>
    <w:rsid w:val="290E6CE7"/>
    <w:rsid w:val="295A0C29"/>
    <w:rsid w:val="29E54BA8"/>
    <w:rsid w:val="2B227577"/>
    <w:rsid w:val="2D604645"/>
    <w:rsid w:val="2DBC4036"/>
    <w:rsid w:val="2EDF69A7"/>
    <w:rsid w:val="322B13C4"/>
    <w:rsid w:val="32524BFD"/>
    <w:rsid w:val="325564F4"/>
    <w:rsid w:val="32941625"/>
    <w:rsid w:val="32EB18A1"/>
    <w:rsid w:val="33C5616B"/>
    <w:rsid w:val="34713E2B"/>
    <w:rsid w:val="3566165A"/>
    <w:rsid w:val="366C5346"/>
    <w:rsid w:val="37F05A73"/>
    <w:rsid w:val="397B7834"/>
    <w:rsid w:val="3DA6550E"/>
    <w:rsid w:val="402E5098"/>
    <w:rsid w:val="403E55C3"/>
    <w:rsid w:val="40AD0506"/>
    <w:rsid w:val="417E5498"/>
    <w:rsid w:val="42204EB5"/>
    <w:rsid w:val="42DA39A5"/>
    <w:rsid w:val="42F950A7"/>
    <w:rsid w:val="447B1D0E"/>
    <w:rsid w:val="44BD69EB"/>
    <w:rsid w:val="46106D55"/>
    <w:rsid w:val="47AE46D7"/>
    <w:rsid w:val="47C35A5D"/>
    <w:rsid w:val="48604DB7"/>
    <w:rsid w:val="48620671"/>
    <w:rsid w:val="48D95232"/>
    <w:rsid w:val="49414253"/>
    <w:rsid w:val="4A4C42A4"/>
    <w:rsid w:val="4B124BE3"/>
    <w:rsid w:val="4C59591B"/>
    <w:rsid w:val="4CF34A43"/>
    <w:rsid w:val="4D33283B"/>
    <w:rsid w:val="4E094596"/>
    <w:rsid w:val="4E5924D0"/>
    <w:rsid w:val="4E5A31CA"/>
    <w:rsid w:val="4EDD5341"/>
    <w:rsid w:val="4F152C67"/>
    <w:rsid w:val="4F8A0D03"/>
    <w:rsid w:val="4FA622E0"/>
    <w:rsid w:val="51454113"/>
    <w:rsid w:val="51E66335"/>
    <w:rsid w:val="52C942F5"/>
    <w:rsid w:val="52D468DD"/>
    <w:rsid w:val="531C7ADA"/>
    <w:rsid w:val="532C0BCB"/>
    <w:rsid w:val="53430FF2"/>
    <w:rsid w:val="53B660D6"/>
    <w:rsid w:val="53FA71B7"/>
    <w:rsid w:val="54392249"/>
    <w:rsid w:val="547D7D04"/>
    <w:rsid w:val="54BA6B11"/>
    <w:rsid w:val="54EA4E2E"/>
    <w:rsid w:val="56A31EE4"/>
    <w:rsid w:val="56CB7E6B"/>
    <w:rsid w:val="56F905DC"/>
    <w:rsid w:val="581205EB"/>
    <w:rsid w:val="584329D8"/>
    <w:rsid w:val="59576BBE"/>
    <w:rsid w:val="59FF74EB"/>
    <w:rsid w:val="5AD073AA"/>
    <w:rsid w:val="5CF02C41"/>
    <w:rsid w:val="5D7C7E6A"/>
    <w:rsid w:val="5D852366"/>
    <w:rsid w:val="5D8A7299"/>
    <w:rsid w:val="5DC34697"/>
    <w:rsid w:val="5E477B07"/>
    <w:rsid w:val="60292533"/>
    <w:rsid w:val="609F1484"/>
    <w:rsid w:val="60B02453"/>
    <w:rsid w:val="611C74B1"/>
    <w:rsid w:val="61982C6F"/>
    <w:rsid w:val="62BD5634"/>
    <w:rsid w:val="62E1096C"/>
    <w:rsid w:val="63A54E09"/>
    <w:rsid w:val="650D2C1F"/>
    <w:rsid w:val="659F79E0"/>
    <w:rsid w:val="67FB4D21"/>
    <w:rsid w:val="68302B27"/>
    <w:rsid w:val="687C7AB9"/>
    <w:rsid w:val="68D41851"/>
    <w:rsid w:val="68F16528"/>
    <w:rsid w:val="69AA10F4"/>
    <w:rsid w:val="6A765B22"/>
    <w:rsid w:val="6D306395"/>
    <w:rsid w:val="6D5B678F"/>
    <w:rsid w:val="6EEE5BAF"/>
    <w:rsid w:val="708116AD"/>
    <w:rsid w:val="70BF50A1"/>
    <w:rsid w:val="722E2A61"/>
    <w:rsid w:val="735F0AE9"/>
    <w:rsid w:val="73A8634F"/>
    <w:rsid w:val="73C31D4B"/>
    <w:rsid w:val="74570C0A"/>
    <w:rsid w:val="7471559C"/>
    <w:rsid w:val="75D71F9F"/>
    <w:rsid w:val="76B66FE0"/>
    <w:rsid w:val="774E15A1"/>
    <w:rsid w:val="77F753B8"/>
    <w:rsid w:val="78EB1DDC"/>
    <w:rsid w:val="79224089"/>
    <w:rsid w:val="7990698B"/>
    <w:rsid w:val="799A5D1A"/>
    <w:rsid w:val="79A82155"/>
    <w:rsid w:val="79AE1A6A"/>
    <w:rsid w:val="79BF1990"/>
    <w:rsid w:val="7A1234BA"/>
    <w:rsid w:val="7A910442"/>
    <w:rsid w:val="7B893E15"/>
    <w:rsid w:val="7C876E5C"/>
    <w:rsid w:val="7C90674F"/>
    <w:rsid w:val="7D44533D"/>
    <w:rsid w:val="7D490930"/>
    <w:rsid w:val="7D7B3F4E"/>
    <w:rsid w:val="7DC07E42"/>
    <w:rsid w:val="7DEF0C32"/>
    <w:rsid w:val="7E305F7E"/>
    <w:rsid w:val="7EAE3040"/>
    <w:rsid w:val="7F5C7CE3"/>
    <w:rsid w:val="7FA70B91"/>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ody Text"/>
    <w:basedOn w:val="1"/>
    <w:link w:val="15"/>
    <w:qFormat/>
    <w:uiPriority w:val="0"/>
    <w:rPr>
      <w:rFonts w:ascii="楷体_GB2312" w:hAnsi="Arial" w:eastAsia="楷体_GB2312"/>
      <w:kern w:val="0"/>
      <w:sz w:val="28"/>
      <w:szCs w:val="20"/>
    </w:rPr>
  </w:style>
  <w:style w:type="paragraph" w:styleId="4">
    <w:name w:val="Body Text Indent"/>
    <w:basedOn w:val="1"/>
    <w:link w:val="14"/>
    <w:qFormat/>
    <w:uiPriority w:val="0"/>
    <w:pPr>
      <w:spacing w:after="120"/>
      <w:ind w:left="420" w:leftChars="200"/>
    </w:p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4"/>
    <w:qFormat/>
    <w:uiPriority w:val="0"/>
    <w:rPr>
      <w:rFonts w:ascii="仿宋_GB2312" w:hAnsi="Calibri" w:eastAsia="仿宋_GB2312" w:cs="Times New Roman"/>
    </w:rPr>
  </w:style>
  <w:style w:type="character" w:customStyle="1" w:styleId="15">
    <w:name w:val="正文文本 Char"/>
    <w:basedOn w:val="12"/>
    <w:link w:val="3"/>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2"/>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 w:type="character" w:customStyle="1" w:styleId="28">
    <w:name w:val="font61"/>
    <w:basedOn w:val="12"/>
    <w:qFormat/>
    <w:uiPriority w:val="0"/>
    <w:rPr>
      <w:rFonts w:hint="eastAsia" w:ascii="宋体" w:hAnsi="宋体" w:eastAsia="宋体" w:cs="宋体"/>
      <w:color w:val="FF0000"/>
      <w:sz w:val="20"/>
      <w:szCs w:val="20"/>
      <w:u w:val="none"/>
    </w:rPr>
  </w:style>
  <w:style w:type="character" w:customStyle="1" w:styleId="29">
    <w:name w:val="font21"/>
    <w:basedOn w:val="12"/>
    <w:qFormat/>
    <w:uiPriority w:val="0"/>
    <w:rPr>
      <w:rFonts w:hint="eastAsia" w:ascii="宋体" w:hAnsi="宋体" w:eastAsia="宋体" w:cs="宋体"/>
      <w:color w:val="000000"/>
      <w:sz w:val="20"/>
      <w:szCs w:val="20"/>
      <w:u w:val="none"/>
    </w:rPr>
  </w:style>
  <w:style w:type="character" w:customStyle="1" w:styleId="30">
    <w:name w:val="font81"/>
    <w:basedOn w:val="12"/>
    <w:qFormat/>
    <w:uiPriority w:val="0"/>
    <w:rPr>
      <w:rFonts w:ascii="Wingdings 2" w:hAnsi="Wingdings 2" w:eastAsia="Wingdings 2" w:cs="Wingdings 2"/>
      <w:color w:val="000000"/>
      <w:sz w:val="22"/>
      <w:szCs w:val="22"/>
      <w:u w:val="none"/>
    </w:rPr>
  </w:style>
  <w:style w:type="character" w:customStyle="1" w:styleId="31">
    <w:name w:val="font51"/>
    <w:basedOn w:val="12"/>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13</Pages>
  <Words>3965</Words>
  <Characters>4169</Characters>
  <Lines>78</Lines>
  <Paragraphs>22</Paragraphs>
  <TotalTime>20</TotalTime>
  <ScaleCrop>false</ScaleCrop>
  <LinksUpToDate>false</LinksUpToDate>
  <CharactersWithSpaces>5139</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2024-09-24T01:39:30Z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73E4713CE346419AA80556961F48FDC4_13</vt:lpwstr>
  </property>
</Properties>
</file>